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4204" w14:textId="77777777" w:rsidR="002975F4" w:rsidRDefault="00000000">
      <w:pPr>
        <w:jc w:val="center"/>
        <w:rPr>
          <w:rFonts w:asciiTheme="majorHAnsi" w:hAnsiTheme="majorHAnsi" w:cstheme="majorHAnsi"/>
          <w:sz w:val="28"/>
          <w:szCs w:val="28"/>
        </w:rPr>
      </w:pPr>
      <w:r>
        <w:rPr>
          <w:rFonts w:asciiTheme="majorHAnsi" w:hAnsiTheme="majorHAnsi" w:cstheme="majorHAnsi"/>
          <w:sz w:val="28"/>
          <w:szCs w:val="28"/>
        </w:rPr>
        <w:t xml:space="preserve">Annexe VI – Commodat de carrière </w:t>
      </w:r>
    </w:p>
    <w:p w14:paraId="77A7608D" w14:textId="77777777" w:rsidR="002975F4" w:rsidRDefault="00000000">
      <w:pPr>
        <w:jc w:val="center"/>
        <w:rPr>
          <w:rFonts w:asciiTheme="majorHAnsi" w:hAnsiTheme="majorHAnsi" w:cstheme="majorHAnsi"/>
          <w:sz w:val="28"/>
          <w:szCs w:val="28"/>
        </w:rPr>
      </w:pPr>
      <w:r>
        <w:rPr>
          <w:rFonts w:asciiTheme="majorHAnsi" w:hAnsiTheme="majorHAnsi" w:cstheme="majorHAnsi"/>
          <w:sz w:val="28"/>
          <w:szCs w:val="28"/>
        </w:rPr>
        <w:t>pour la réserve naturelle de la Vallée de la Trouille</w:t>
      </w:r>
    </w:p>
    <w:p w14:paraId="6B2FFDE7" w14:textId="77777777" w:rsidR="002975F4" w:rsidRDefault="00000000">
      <w:pPr>
        <w:jc w:val="both"/>
        <w:rPr>
          <w:rFonts w:asciiTheme="majorHAnsi" w:hAnsiTheme="majorHAnsi" w:cstheme="majorHAnsi"/>
          <w:i/>
          <w:iCs/>
        </w:rPr>
      </w:pPr>
      <w:r>
        <w:rPr>
          <w:rFonts w:asciiTheme="majorHAnsi" w:hAnsiTheme="majorHAnsi" w:cstheme="majorHAnsi"/>
          <w:i/>
          <w:iCs/>
        </w:rPr>
        <w:t>Avertissement : l’utilisation du présent commodat de carrière n’est prévue que pour les terrains pour lesquels l’utilisation du bail à ferme est incompatible avec les obligations reposant sur le prêteur en matière de gestion des réserves naturelles, soit les terrains visés à l’article 2, 9°.</w:t>
      </w:r>
    </w:p>
    <w:p w14:paraId="2B2C6A59" w14:textId="77777777" w:rsidR="002975F4" w:rsidRDefault="00000000">
      <w:pPr>
        <w:jc w:val="center"/>
        <w:rPr>
          <w:rFonts w:asciiTheme="majorHAnsi" w:hAnsiTheme="majorHAnsi" w:cstheme="majorHAnsi"/>
          <w:b/>
          <w:bCs/>
        </w:rPr>
      </w:pPr>
      <w:r>
        <w:rPr>
          <w:rFonts w:asciiTheme="majorHAnsi" w:hAnsiTheme="majorHAnsi" w:cstheme="majorHAnsi"/>
          <w:b/>
          <w:bCs/>
          <w:sz w:val="24"/>
          <w:szCs w:val="24"/>
        </w:rPr>
        <w:t>ENTRE</w:t>
      </w:r>
    </w:p>
    <w:p w14:paraId="61F8B3AB" w14:textId="77777777" w:rsidR="002975F4" w:rsidRDefault="00000000">
      <w:pPr>
        <w:rPr>
          <w:rFonts w:asciiTheme="majorHAnsi" w:hAnsiTheme="majorHAnsi" w:cstheme="majorHAnsi"/>
          <w:b/>
          <w:bCs/>
        </w:rPr>
      </w:pPr>
      <w:r>
        <w:rPr>
          <w:rFonts w:asciiTheme="majorHAnsi" w:hAnsiTheme="majorHAnsi" w:cstheme="majorHAnsi"/>
          <w:b/>
          <w:bCs/>
        </w:rPr>
        <w:t>D’une part,</w:t>
      </w:r>
    </w:p>
    <w:tbl>
      <w:tblPr>
        <w:tblStyle w:val="Grilledutableau"/>
        <w:tblW w:w="0" w:type="auto"/>
        <w:tblInd w:w="42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051"/>
        <w:gridCol w:w="5552"/>
      </w:tblGrid>
      <w:tr w:rsidR="002975F4" w14:paraId="37755A84" w14:textId="77777777">
        <w:tc>
          <w:tcPr>
            <w:tcW w:w="20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19112"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Dénomination</w:t>
            </w:r>
          </w:p>
        </w:tc>
        <w:tc>
          <w:tcPr>
            <w:tcW w:w="5552" w:type="dxa"/>
            <w:tcBorders>
              <w:top w:val="single" w:sz="8" w:space="0" w:color="000000"/>
              <w:bottom w:val="single" w:sz="8" w:space="0" w:color="000000"/>
              <w:right w:val="single" w:sz="8" w:space="0" w:color="000000"/>
            </w:tcBorders>
            <w:tcMar>
              <w:top w:w="0" w:type="dxa"/>
              <w:left w:w="108" w:type="dxa"/>
              <w:bottom w:w="0" w:type="dxa"/>
              <w:right w:w="108" w:type="dxa"/>
            </w:tcMar>
          </w:tcPr>
          <w:p w14:paraId="45F7333C"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Ardenne &amp; Gaume</w:t>
            </w:r>
          </w:p>
        </w:tc>
      </w:tr>
      <w:tr w:rsidR="002975F4" w14:paraId="0C5B31A3" w14:textId="77777777">
        <w:tc>
          <w:tcPr>
            <w:tcW w:w="2051" w:type="dxa"/>
            <w:tcBorders>
              <w:left w:val="single" w:sz="8" w:space="0" w:color="000000"/>
              <w:bottom w:val="single" w:sz="8" w:space="0" w:color="000000"/>
              <w:right w:val="single" w:sz="8" w:space="0" w:color="000000"/>
            </w:tcBorders>
            <w:tcMar>
              <w:top w:w="0" w:type="dxa"/>
              <w:left w:w="108" w:type="dxa"/>
              <w:bottom w:w="0" w:type="dxa"/>
              <w:right w:w="108" w:type="dxa"/>
            </w:tcMar>
          </w:tcPr>
          <w:p w14:paraId="2C1E4C00"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Siège social</w:t>
            </w:r>
          </w:p>
        </w:tc>
        <w:tc>
          <w:tcPr>
            <w:tcW w:w="5552" w:type="dxa"/>
            <w:tcBorders>
              <w:bottom w:val="single" w:sz="8" w:space="0" w:color="000000"/>
              <w:right w:val="single" w:sz="8" w:space="0" w:color="000000"/>
            </w:tcBorders>
            <w:tcMar>
              <w:top w:w="0" w:type="dxa"/>
              <w:left w:w="108" w:type="dxa"/>
              <w:bottom w:w="0" w:type="dxa"/>
              <w:right w:w="108" w:type="dxa"/>
            </w:tcMar>
          </w:tcPr>
          <w:p w14:paraId="215671DF"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 xml:space="preserve">Rue du Camp Romain 79, 5500 </w:t>
            </w:r>
            <w:proofErr w:type="spellStart"/>
            <w:r>
              <w:rPr>
                <w:rFonts w:ascii="Calibri Light" w:eastAsia="Calibri Light" w:hAnsi="Calibri Light" w:cs="Calibri Light"/>
                <w:color w:val="000000"/>
                <w:highlight w:val="white"/>
              </w:rPr>
              <w:t>Furfooz</w:t>
            </w:r>
            <w:proofErr w:type="spellEnd"/>
          </w:p>
        </w:tc>
      </w:tr>
      <w:tr w:rsidR="002975F4" w14:paraId="10676DAC" w14:textId="77777777">
        <w:tc>
          <w:tcPr>
            <w:tcW w:w="2051" w:type="dxa"/>
            <w:tcBorders>
              <w:left w:val="single" w:sz="8" w:space="0" w:color="000000"/>
              <w:bottom w:val="single" w:sz="8" w:space="0" w:color="000000"/>
              <w:right w:val="single" w:sz="8" w:space="0" w:color="000000"/>
            </w:tcBorders>
            <w:tcMar>
              <w:top w:w="0" w:type="dxa"/>
              <w:left w:w="108" w:type="dxa"/>
              <w:bottom w:w="0" w:type="dxa"/>
              <w:right w:w="108" w:type="dxa"/>
            </w:tcMar>
          </w:tcPr>
          <w:p w14:paraId="218BE17B"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Numéro d’entreprise</w:t>
            </w:r>
          </w:p>
        </w:tc>
        <w:tc>
          <w:tcPr>
            <w:tcW w:w="5552" w:type="dxa"/>
            <w:tcBorders>
              <w:bottom w:val="single" w:sz="8" w:space="0" w:color="000000"/>
              <w:right w:val="single" w:sz="8" w:space="0" w:color="000000"/>
            </w:tcBorders>
            <w:tcMar>
              <w:top w:w="0" w:type="dxa"/>
              <w:left w:w="108" w:type="dxa"/>
              <w:bottom w:w="0" w:type="dxa"/>
              <w:right w:w="108" w:type="dxa"/>
            </w:tcMar>
          </w:tcPr>
          <w:p w14:paraId="0E55E60E"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0407.791.760</w:t>
            </w:r>
          </w:p>
        </w:tc>
      </w:tr>
      <w:tr w:rsidR="002975F4" w14:paraId="14A6641F" w14:textId="77777777">
        <w:tc>
          <w:tcPr>
            <w:tcW w:w="2051" w:type="dxa"/>
            <w:tcBorders>
              <w:left w:val="single" w:sz="8" w:space="0" w:color="000000"/>
              <w:bottom w:val="single" w:sz="8" w:space="0" w:color="000000"/>
              <w:right w:val="single" w:sz="8" w:space="0" w:color="000000"/>
            </w:tcBorders>
            <w:tcMar>
              <w:top w:w="0" w:type="dxa"/>
              <w:left w:w="108" w:type="dxa"/>
              <w:bottom w:w="0" w:type="dxa"/>
              <w:right w:w="108" w:type="dxa"/>
            </w:tcMar>
          </w:tcPr>
          <w:p w14:paraId="6AE71701"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Représenté par</w:t>
            </w:r>
          </w:p>
        </w:tc>
        <w:tc>
          <w:tcPr>
            <w:tcW w:w="5552" w:type="dxa"/>
            <w:tcBorders>
              <w:bottom w:val="single" w:sz="8" w:space="0" w:color="000000"/>
              <w:right w:val="single" w:sz="8" w:space="0" w:color="000000"/>
            </w:tcBorders>
            <w:tcMar>
              <w:top w:w="0" w:type="dxa"/>
              <w:left w:w="108" w:type="dxa"/>
              <w:bottom w:w="0" w:type="dxa"/>
              <w:right w:w="108" w:type="dxa"/>
            </w:tcMar>
          </w:tcPr>
          <w:p w14:paraId="3E6A720E"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Julien Preud’Homme</w:t>
            </w:r>
          </w:p>
        </w:tc>
      </w:tr>
      <w:tr w:rsidR="002975F4" w14:paraId="25FB47B2" w14:textId="77777777">
        <w:tc>
          <w:tcPr>
            <w:tcW w:w="2051" w:type="dxa"/>
            <w:tcBorders>
              <w:left w:val="single" w:sz="8" w:space="0" w:color="000000"/>
              <w:bottom w:val="single" w:sz="8" w:space="0" w:color="000000"/>
              <w:right w:val="single" w:sz="8" w:space="0" w:color="000000"/>
            </w:tcBorders>
            <w:tcMar>
              <w:top w:w="0" w:type="dxa"/>
              <w:left w:w="108" w:type="dxa"/>
              <w:bottom w:w="0" w:type="dxa"/>
              <w:right w:w="108" w:type="dxa"/>
            </w:tcMar>
          </w:tcPr>
          <w:p w14:paraId="4E5BB55B"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 xml:space="preserve">En qualité de </w:t>
            </w:r>
          </w:p>
        </w:tc>
        <w:tc>
          <w:tcPr>
            <w:tcW w:w="5552" w:type="dxa"/>
            <w:tcBorders>
              <w:bottom w:val="single" w:sz="8" w:space="0" w:color="000000"/>
              <w:right w:val="single" w:sz="8" w:space="0" w:color="000000"/>
            </w:tcBorders>
            <w:tcMar>
              <w:top w:w="0" w:type="dxa"/>
              <w:left w:w="108" w:type="dxa"/>
              <w:bottom w:w="0" w:type="dxa"/>
              <w:right w:w="108" w:type="dxa"/>
            </w:tcMar>
          </w:tcPr>
          <w:p w14:paraId="2F493176" w14:textId="77777777" w:rsidR="002975F4" w:rsidRDefault="00000000">
            <w:pPr>
              <w:pBdr>
                <w:top w:val="none" w:sz="4" w:space="0" w:color="000000"/>
                <w:left w:val="none" w:sz="4" w:space="0" w:color="000000"/>
                <w:bottom w:val="none" w:sz="4" w:space="0" w:color="000000"/>
                <w:right w:val="none" w:sz="4" w:space="0" w:color="000000"/>
              </w:pBdr>
              <w:jc w:val="both"/>
              <w:rPr>
                <w:highlight w:val="white"/>
              </w:rPr>
            </w:pPr>
            <w:r>
              <w:rPr>
                <w:rFonts w:ascii="Calibri Light" w:eastAsia="Calibri Light" w:hAnsi="Calibri Light" w:cs="Calibri Light"/>
                <w:color w:val="000000"/>
                <w:highlight w:val="white"/>
              </w:rPr>
              <w:t>Coordinateur des réserves naturelles</w:t>
            </w:r>
          </w:p>
        </w:tc>
      </w:tr>
    </w:tbl>
    <w:p w14:paraId="33FA4A9C" w14:textId="77777777" w:rsidR="002975F4" w:rsidRDefault="002975F4">
      <w:pPr>
        <w:rPr>
          <w:rFonts w:asciiTheme="majorHAnsi" w:hAnsiTheme="majorHAnsi" w:cstheme="majorHAnsi"/>
          <w:b/>
          <w:bCs/>
          <w:i/>
          <w:sz w:val="24"/>
          <w:szCs w:val="24"/>
        </w:rPr>
      </w:pPr>
    </w:p>
    <w:p w14:paraId="240D1F6F" w14:textId="77777777" w:rsidR="002975F4" w:rsidRDefault="00000000">
      <w:pPr>
        <w:jc w:val="center"/>
        <w:rPr>
          <w:rFonts w:asciiTheme="majorHAnsi" w:hAnsiTheme="majorHAnsi" w:cstheme="majorHAnsi"/>
          <w:b/>
          <w:bCs/>
          <w:i/>
          <w:iCs/>
          <w:sz w:val="24"/>
          <w:szCs w:val="24"/>
        </w:rPr>
      </w:pPr>
      <w:r>
        <w:rPr>
          <w:rFonts w:asciiTheme="majorHAnsi" w:hAnsiTheme="majorHAnsi" w:cstheme="majorHAnsi"/>
          <w:b/>
          <w:bCs/>
          <w:i/>
          <w:iCs/>
          <w:sz w:val="24"/>
          <w:szCs w:val="24"/>
        </w:rPr>
        <w:t>Ci-après dénommé le prêteur</w:t>
      </w:r>
    </w:p>
    <w:p w14:paraId="267BBA38" w14:textId="77777777" w:rsidR="002975F4" w:rsidRDefault="00000000">
      <w:pPr>
        <w:rPr>
          <w:rFonts w:asciiTheme="majorHAnsi" w:hAnsiTheme="majorHAnsi" w:cstheme="majorHAnsi"/>
          <w:b/>
          <w:bCs/>
        </w:rPr>
      </w:pPr>
      <w:r>
        <w:rPr>
          <w:rFonts w:asciiTheme="majorHAnsi" w:hAnsiTheme="majorHAnsi" w:cstheme="majorHAnsi"/>
          <w:b/>
          <w:bCs/>
        </w:rPr>
        <w:t xml:space="preserve">Et d’autre part, </w:t>
      </w:r>
    </w:p>
    <w:p w14:paraId="73A3C876" w14:textId="77777777" w:rsidR="002975F4" w:rsidRDefault="00000000">
      <w:pPr>
        <w:ind w:left="993"/>
        <w:rPr>
          <w:rFonts w:asciiTheme="majorHAnsi" w:hAnsiTheme="majorHAnsi" w:cstheme="majorHAnsi"/>
          <w:b/>
          <w:bCs/>
        </w:rPr>
      </w:pPr>
      <w:r>
        <w:rPr>
          <w:rFonts w:asciiTheme="majorHAnsi" w:hAnsiTheme="majorHAnsi" w:cstheme="majorHAnsi"/>
          <w:b/>
          <w:bCs/>
        </w:rPr>
        <w:t>Si l’emprunteur est une personne physique - Ajouter des lignes si plusieurs emprunteurs en société sans personnalité juridique</w:t>
      </w:r>
    </w:p>
    <w:tbl>
      <w:tblPr>
        <w:tblStyle w:val="Grilledutableau"/>
        <w:tblW w:w="8221" w:type="dxa"/>
        <w:tblInd w:w="421" w:type="dxa"/>
        <w:tblLook w:val="04A0" w:firstRow="1" w:lastRow="0" w:firstColumn="1" w:lastColumn="0" w:noHBand="0" w:noVBand="1"/>
      </w:tblPr>
      <w:tblGrid>
        <w:gridCol w:w="2409"/>
        <w:gridCol w:w="5812"/>
      </w:tblGrid>
      <w:tr w:rsidR="002975F4" w14:paraId="0A109F95" w14:textId="77777777">
        <w:tc>
          <w:tcPr>
            <w:tcW w:w="2409" w:type="dxa"/>
          </w:tcPr>
          <w:p w14:paraId="6D4E5A10" w14:textId="77777777" w:rsidR="002975F4" w:rsidRDefault="00000000">
            <w:pPr>
              <w:rPr>
                <w:rFonts w:asciiTheme="majorHAnsi" w:hAnsiTheme="majorHAnsi" w:cstheme="majorHAnsi"/>
              </w:rPr>
            </w:pPr>
            <w:r>
              <w:rPr>
                <w:rFonts w:asciiTheme="majorHAnsi" w:hAnsiTheme="majorHAnsi" w:cstheme="majorHAnsi"/>
              </w:rPr>
              <w:t>Civilité</w:t>
            </w:r>
          </w:p>
        </w:tc>
        <w:tc>
          <w:tcPr>
            <w:tcW w:w="5812" w:type="dxa"/>
          </w:tcPr>
          <w:p w14:paraId="71E21A1C" w14:textId="77777777" w:rsidR="002975F4" w:rsidRDefault="002975F4">
            <w:pPr>
              <w:rPr>
                <w:rFonts w:asciiTheme="majorHAnsi" w:hAnsiTheme="majorHAnsi" w:cstheme="majorHAnsi"/>
              </w:rPr>
            </w:pPr>
          </w:p>
        </w:tc>
      </w:tr>
      <w:tr w:rsidR="002975F4" w14:paraId="1F3DCE64" w14:textId="77777777">
        <w:tc>
          <w:tcPr>
            <w:tcW w:w="2409" w:type="dxa"/>
          </w:tcPr>
          <w:p w14:paraId="3AC6D0E6" w14:textId="77777777" w:rsidR="002975F4" w:rsidRDefault="00000000">
            <w:pPr>
              <w:rPr>
                <w:rFonts w:asciiTheme="majorHAnsi" w:hAnsiTheme="majorHAnsi" w:cstheme="majorHAnsi"/>
              </w:rPr>
            </w:pPr>
            <w:r>
              <w:rPr>
                <w:rFonts w:asciiTheme="majorHAnsi" w:hAnsiTheme="majorHAnsi" w:cstheme="majorHAnsi"/>
              </w:rPr>
              <w:t>Nom</w:t>
            </w:r>
          </w:p>
        </w:tc>
        <w:tc>
          <w:tcPr>
            <w:tcW w:w="5812" w:type="dxa"/>
          </w:tcPr>
          <w:p w14:paraId="7848E31D" w14:textId="77777777" w:rsidR="002975F4" w:rsidRDefault="002975F4">
            <w:pPr>
              <w:rPr>
                <w:rFonts w:asciiTheme="majorHAnsi" w:hAnsiTheme="majorHAnsi" w:cstheme="majorHAnsi"/>
              </w:rPr>
            </w:pPr>
          </w:p>
        </w:tc>
      </w:tr>
      <w:tr w:rsidR="002975F4" w14:paraId="045DB889" w14:textId="77777777">
        <w:tc>
          <w:tcPr>
            <w:tcW w:w="2409" w:type="dxa"/>
          </w:tcPr>
          <w:p w14:paraId="212399BD" w14:textId="77777777" w:rsidR="002975F4" w:rsidRDefault="00000000">
            <w:pPr>
              <w:rPr>
                <w:rFonts w:asciiTheme="majorHAnsi" w:hAnsiTheme="majorHAnsi" w:cstheme="majorHAnsi"/>
              </w:rPr>
            </w:pPr>
            <w:r>
              <w:rPr>
                <w:rFonts w:asciiTheme="majorHAnsi" w:hAnsiTheme="majorHAnsi" w:cstheme="majorHAnsi"/>
              </w:rPr>
              <w:t>Prénom</w:t>
            </w:r>
          </w:p>
        </w:tc>
        <w:tc>
          <w:tcPr>
            <w:tcW w:w="5812" w:type="dxa"/>
          </w:tcPr>
          <w:p w14:paraId="6DCD9F1B" w14:textId="77777777" w:rsidR="002975F4" w:rsidRDefault="002975F4">
            <w:pPr>
              <w:rPr>
                <w:rFonts w:asciiTheme="majorHAnsi" w:hAnsiTheme="majorHAnsi" w:cstheme="majorHAnsi"/>
              </w:rPr>
            </w:pPr>
          </w:p>
        </w:tc>
      </w:tr>
      <w:tr w:rsidR="002975F4" w14:paraId="0A0E0BB9" w14:textId="77777777">
        <w:tc>
          <w:tcPr>
            <w:tcW w:w="2409" w:type="dxa"/>
          </w:tcPr>
          <w:p w14:paraId="1A7D1EA3" w14:textId="77777777" w:rsidR="002975F4" w:rsidRDefault="00000000">
            <w:pPr>
              <w:rPr>
                <w:rFonts w:asciiTheme="majorHAnsi" w:hAnsiTheme="majorHAnsi" w:cstheme="majorHAnsi"/>
              </w:rPr>
            </w:pPr>
            <w:r>
              <w:rPr>
                <w:rFonts w:asciiTheme="majorHAnsi" w:hAnsiTheme="majorHAnsi" w:cstheme="majorHAnsi"/>
              </w:rPr>
              <w:t>Domicile</w:t>
            </w:r>
          </w:p>
        </w:tc>
        <w:tc>
          <w:tcPr>
            <w:tcW w:w="5812" w:type="dxa"/>
          </w:tcPr>
          <w:p w14:paraId="4D0D15E7" w14:textId="77777777" w:rsidR="002975F4" w:rsidRDefault="002975F4">
            <w:pPr>
              <w:rPr>
                <w:rFonts w:asciiTheme="majorHAnsi" w:hAnsiTheme="majorHAnsi" w:cstheme="majorHAnsi"/>
              </w:rPr>
            </w:pPr>
          </w:p>
        </w:tc>
      </w:tr>
      <w:tr w:rsidR="002975F4" w14:paraId="4DD2C41B" w14:textId="77777777">
        <w:tc>
          <w:tcPr>
            <w:tcW w:w="2409" w:type="dxa"/>
          </w:tcPr>
          <w:p w14:paraId="57E472A6" w14:textId="77777777" w:rsidR="002975F4" w:rsidRDefault="00000000">
            <w:pPr>
              <w:rPr>
                <w:rFonts w:asciiTheme="majorHAnsi" w:hAnsiTheme="majorHAnsi" w:cstheme="majorHAnsi"/>
              </w:rPr>
            </w:pPr>
            <w:r>
              <w:rPr>
                <w:rFonts w:asciiTheme="majorHAnsi" w:hAnsiTheme="majorHAnsi" w:cstheme="majorHAnsi"/>
              </w:rPr>
              <w:t>Date de naissance</w:t>
            </w:r>
          </w:p>
        </w:tc>
        <w:tc>
          <w:tcPr>
            <w:tcW w:w="5812" w:type="dxa"/>
          </w:tcPr>
          <w:p w14:paraId="720F3E37" w14:textId="77777777" w:rsidR="002975F4" w:rsidRDefault="002975F4">
            <w:pPr>
              <w:rPr>
                <w:rFonts w:asciiTheme="majorHAnsi" w:hAnsiTheme="majorHAnsi" w:cstheme="majorHAnsi"/>
              </w:rPr>
            </w:pPr>
          </w:p>
        </w:tc>
      </w:tr>
      <w:tr w:rsidR="002975F4" w14:paraId="448D4C19" w14:textId="77777777">
        <w:tc>
          <w:tcPr>
            <w:tcW w:w="2409" w:type="dxa"/>
          </w:tcPr>
          <w:p w14:paraId="29BA3107" w14:textId="77777777" w:rsidR="002975F4" w:rsidRDefault="00000000">
            <w:pPr>
              <w:rPr>
                <w:rFonts w:asciiTheme="majorHAnsi" w:hAnsiTheme="majorHAnsi" w:cstheme="majorHAnsi"/>
              </w:rPr>
            </w:pPr>
            <w:r>
              <w:rPr>
                <w:rFonts w:asciiTheme="majorHAnsi" w:hAnsiTheme="majorHAnsi" w:cstheme="majorHAnsi"/>
              </w:rPr>
              <w:t>Lieu de naissance</w:t>
            </w:r>
          </w:p>
        </w:tc>
        <w:tc>
          <w:tcPr>
            <w:tcW w:w="5812" w:type="dxa"/>
          </w:tcPr>
          <w:p w14:paraId="66F79EA0" w14:textId="77777777" w:rsidR="002975F4" w:rsidRDefault="002975F4">
            <w:pPr>
              <w:rPr>
                <w:rFonts w:asciiTheme="majorHAnsi" w:hAnsiTheme="majorHAnsi" w:cstheme="majorHAnsi"/>
              </w:rPr>
            </w:pPr>
          </w:p>
        </w:tc>
      </w:tr>
      <w:tr w:rsidR="002975F4" w14:paraId="7AF12691" w14:textId="77777777">
        <w:tc>
          <w:tcPr>
            <w:tcW w:w="2409" w:type="dxa"/>
          </w:tcPr>
          <w:p w14:paraId="7BAD2B1A" w14:textId="77777777" w:rsidR="002975F4" w:rsidRDefault="00000000">
            <w:pPr>
              <w:rPr>
                <w:rFonts w:asciiTheme="majorHAnsi" w:hAnsiTheme="majorHAnsi" w:cstheme="majorHAnsi"/>
              </w:rPr>
            </w:pPr>
            <w:r>
              <w:rPr>
                <w:rFonts w:asciiTheme="majorHAnsi" w:hAnsiTheme="majorHAnsi" w:cstheme="majorHAnsi"/>
              </w:rPr>
              <w:t xml:space="preserve">État civil </w:t>
            </w:r>
          </w:p>
        </w:tc>
        <w:tc>
          <w:tcPr>
            <w:tcW w:w="5812" w:type="dxa"/>
          </w:tcPr>
          <w:p w14:paraId="3D5B8459" w14:textId="77777777" w:rsidR="002975F4" w:rsidRDefault="002975F4">
            <w:pPr>
              <w:rPr>
                <w:rFonts w:asciiTheme="majorHAnsi" w:hAnsiTheme="majorHAnsi" w:cstheme="majorHAnsi"/>
              </w:rPr>
            </w:pPr>
          </w:p>
        </w:tc>
      </w:tr>
      <w:tr w:rsidR="002975F4" w14:paraId="6AF916B0" w14:textId="77777777">
        <w:tc>
          <w:tcPr>
            <w:tcW w:w="2409" w:type="dxa"/>
          </w:tcPr>
          <w:p w14:paraId="10617985" w14:textId="77777777" w:rsidR="002975F4" w:rsidRDefault="00000000">
            <w:pPr>
              <w:rPr>
                <w:rFonts w:asciiTheme="majorHAnsi" w:hAnsiTheme="majorHAnsi" w:cstheme="majorHAnsi"/>
              </w:rPr>
            </w:pPr>
            <w:r>
              <w:rPr>
                <w:rFonts w:asciiTheme="majorHAnsi" w:hAnsiTheme="majorHAnsi" w:cstheme="majorHAnsi"/>
              </w:rPr>
              <w:t>N° national</w:t>
            </w:r>
          </w:p>
        </w:tc>
        <w:tc>
          <w:tcPr>
            <w:tcW w:w="5812" w:type="dxa"/>
          </w:tcPr>
          <w:p w14:paraId="067FAC13" w14:textId="77777777" w:rsidR="002975F4" w:rsidRDefault="002975F4">
            <w:pPr>
              <w:rPr>
                <w:rFonts w:asciiTheme="majorHAnsi" w:hAnsiTheme="majorHAnsi" w:cstheme="majorHAnsi"/>
              </w:rPr>
            </w:pPr>
          </w:p>
        </w:tc>
      </w:tr>
      <w:tr w:rsidR="002975F4" w14:paraId="657BE42B" w14:textId="77777777">
        <w:tc>
          <w:tcPr>
            <w:tcW w:w="2409" w:type="dxa"/>
          </w:tcPr>
          <w:p w14:paraId="70E84A35" w14:textId="77777777" w:rsidR="002975F4" w:rsidRDefault="00000000">
            <w:pPr>
              <w:rPr>
                <w:rFonts w:asciiTheme="majorHAnsi" w:hAnsiTheme="majorHAnsi" w:cstheme="majorHAnsi"/>
              </w:rPr>
            </w:pPr>
            <w:r>
              <w:rPr>
                <w:rFonts w:asciiTheme="majorHAnsi" w:hAnsiTheme="majorHAnsi" w:cstheme="majorHAnsi"/>
              </w:rPr>
              <w:t>Numéro d’entreprise</w:t>
            </w:r>
          </w:p>
        </w:tc>
        <w:tc>
          <w:tcPr>
            <w:tcW w:w="5812" w:type="dxa"/>
          </w:tcPr>
          <w:p w14:paraId="1A73BF3A" w14:textId="77777777" w:rsidR="002975F4" w:rsidRDefault="002975F4">
            <w:pPr>
              <w:rPr>
                <w:rFonts w:asciiTheme="majorHAnsi" w:hAnsiTheme="majorHAnsi" w:cstheme="majorHAnsi"/>
              </w:rPr>
            </w:pPr>
          </w:p>
        </w:tc>
      </w:tr>
    </w:tbl>
    <w:p w14:paraId="5CED2621" w14:textId="77777777" w:rsidR="002975F4" w:rsidRDefault="002975F4">
      <w:pPr>
        <w:ind w:left="993"/>
        <w:rPr>
          <w:rFonts w:asciiTheme="majorHAnsi" w:hAnsiTheme="majorHAnsi" w:cstheme="majorHAnsi"/>
          <w:b/>
          <w:bCs/>
          <w:highlight w:val="white"/>
        </w:rPr>
      </w:pPr>
    </w:p>
    <w:p w14:paraId="10DC9808" w14:textId="77777777" w:rsidR="002975F4" w:rsidRDefault="00000000">
      <w:pPr>
        <w:ind w:left="993"/>
        <w:rPr>
          <w:rFonts w:asciiTheme="majorHAnsi" w:hAnsiTheme="majorHAnsi" w:cstheme="majorHAnsi"/>
          <w:b/>
          <w:bCs/>
        </w:rPr>
      </w:pPr>
      <w:r>
        <w:rPr>
          <w:rFonts w:asciiTheme="majorHAnsi" w:hAnsiTheme="majorHAnsi" w:cstheme="majorHAnsi"/>
          <w:b/>
          <w:bCs/>
          <w:highlight w:val="white"/>
        </w:rPr>
        <w:t>Si l’emprunteur est une société bénéficiant de la personnalité juridique - Ajouter des lignes si plusieurs emprunteurs</w:t>
      </w:r>
    </w:p>
    <w:tbl>
      <w:tblPr>
        <w:tblStyle w:val="Grilledutableau"/>
        <w:tblW w:w="8221" w:type="dxa"/>
        <w:tblInd w:w="421" w:type="dxa"/>
        <w:tblLook w:val="04A0" w:firstRow="1" w:lastRow="0" w:firstColumn="1" w:lastColumn="0" w:noHBand="0" w:noVBand="1"/>
      </w:tblPr>
      <w:tblGrid>
        <w:gridCol w:w="2409"/>
        <w:gridCol w:w="5812"/>
      </w:tblGrid>
      <w:tr w:rsidR="002975F4" w14:paraId="6D3E57F2" w14:textId="77777777">
        <w:tc>
          <w:tcPr>
            <w:tcW w:w="2409" w:type="dxa"/>
          </w:tcPr>
          <w:p w14:paraId="79C12ECA" w14:textId="77777777" w:rsidR="002975F4" w:rsidRDefault="00000000">
            <w:pPr>
              <w:rPr>
                <w:rFonts w:asciiTheme="majorHAnsi" w:hAnsiTheme="majorHAnsi" w:cstheme="majorHAnsi"/>
                <w:highlight w:val="white"/>
              </w:rPr>
            </w:pPr>
            <w:r>
              <w:rPr>
                <w:rFonts w:asciiTheme="majorHAnsi" w:hAnsiTheme="majorHAnsi" w:cstheme="majorHAnsi"/>
                <w:highlight w:val="white"/>
              </w:rPr>
              <w:t>Dénomination</w:t>
            </w:r>
          </w:p>
        </w:tc>
        <w:tc>
          <w:tcPr>
            <w:tcW w:w="5812" w:type="dxa"/>
          </w:tcPr>
          <w:p w14:paraId="032CEAF5" w14:textId="77777777" w:rsidR="002975F4" w:rsidRDefault="002975F4">
            <w:pPr>
              <w:rPr>
                <w:rFonts w:asciiTheme="majorHAnsi" w:hAnsiTheme="majorHAnsi" w:cstheme="majorHAnsi"/>
                <w:highlight w:val="white"/>
              </w:rPr>
            </w:pPr>
          </w:p>
        </w:tc>
      </w:tr>
      <w:tr w:rsidR="002975F4" w14:paraId="664DF29C" w14:textId="77777777">
        <w:tc>
          <w:tcPr>
            <w:tcW w:w="2409" w:type="dxa"/>
          </w:tcPr>
          <w:p w14:paraId="0BC0DFCC" w14:textId="77777777" w:rsidR="002975F4" w:rsidRDefault="00000000">
            <w:pPr>
              <w:rPr>
                <w:rFonts w:asciiTheme="majorHAnsi" w:hAnsiTheme="majorHAnsi" w:cstheme="majorHAnsi"/>
                <w:highlight w:val="white"/>
              </w:rPr>
            </w:pPr>
            <w:r>
              <w:rPr>
                <w:rFonts w:asciiTheme="majorHAnsi" w:hAnsiTheme="majorHAnsi" w:cstheme="majorHAnsi"/>
                <w:highlight w:val="white"/>
              </w:rPr>
              <w:t>Siège social</w:t>
            </w:r>
          </w:p>
        </w:tc>
        <w:tc>
          <w:tcPr>
            <w:tcW w:w="5812" w:type="dxa"/>
          </w:tcPr>
          <w:p w14:paraId="0156497D" w14:textId="77777777" w:rsidR="002975F4" w:rsidRDefault="002975F4">
            <w:pPr>
              <w:rPr>
                <w:rFonts w:asciiTheme="majorHAnsi" w:hAnsiTheme="majorHAnsi" w:cstheme="majorHAnsi"/>
                <w:highlight w:val="white"/>
              </w:rPr>
            </w:pPr>
          </w:p>
        </w:tc>
      </w:tr>
      <w:tr w:rsidR="002975F4" w14:paraId="2DFBCFCD" w14:textId="77777777">
        <w:tc>
          <w:tcPr>
            <w:tcW w:w="2409" w:type="dxa"/>
          </w:tcPr>
          <w:p w14:paraId="57613F56" w14:textId="77777777" w:rsidR="002975F4" w:rsidRDefault="00000000">
            <w:pPr>
              <w:rPr>
                <w:rFonts w:asciiTheme="majorHAnsi" w:hAnsiTheme="majorHAnsi" w:cstheme="majorHAnsi"/>
                <w:highlight w:val="white"/>
              </w:rPr>
            </w:pPr>
            <w:r>
              <w:rPr>
                <w:rFonts w:asciiTheme="majorHAnsi" w:hAnsiTheme="majorHAnsi" w:cstheme="majorHAnsi"/>
                <w:highlight w:val="white"/>
              </w:rPr>
              <w:t>Numéro d’entreprise</w:t>
            </w:r>
          </w:p>
        </w:tc>
        <w:tc>
          <w:tcPr>
            <w:tcW w:w="5812" w:type="dxa"/>
          </w:tcPr>
          <w:p w14:paraId="48C7A46D" w14:textId="77777777" w:rsidR="002975F4" w:rsidRDefault="002975F4">
            <w:pPr>
              <w:rPr>
                <w:rFonts w:asciiTheme="majorHAnsi" w:hAnsiTheme="majorHAnsi" w:cstheme="majorHAnsi"/>
                <w:highlight w:val="white"/>
              </w:rPr>
            </w:pPr>
          </w:p>
        </w:tc>
      </w:tr>
      <w:tr w:rsidR="002975F4" w14:paraId="62473E3E" w14:textId="77777777">
        <w:tc>
          <w:tcPr>
            <w:tcW w:w="2409" w:type="dxa"/>
          </w:tcPr>
          <w:p w14:paraId="305FBC06" w14:textId="77777777" w:rsidR="002975F4" w:rsidRDefault="00000000">
            <w:pPr>
              <w:rPr>
                <w:rFonts w:asciiTheme="majorHAnsi" w:hAnsiTheme="majorHAnsi" w:cstheme="majorHAnsi"/>
                <w:highlight w:val="white"/>
              </w:rPr>
            </w:pPr>
            <w:r>
              <w:rPr>
                <w:rFonts w:asciiTheme="majorHAnsi" w:hAnsiTheme="majorHAnsi" w:cstheme="majorHAnsi"/>
                <w:highlight w:val="white"/>
              </w:rPr>
              <w:t>Représenté par</w:t>
            </w:r>
          </w:p>
        </w:tc>
        <w:tc>
          <w:tcPr>
            <w:tcW w:w="5812" w:type="dxa"/>
          </w:tcPr>
          <w:p w14:paraId="63BCEFC5" w14:textId="77777777" w:rsidR="002975F4" w:rsidRDefault="002975F4">
            <w:pPr>
              <w:rPr>
                <w:rFonts w:asciiTheme="majorHAnsi" w:hAnsiTheme="majorHAnsi" w:cstheme="majorHAnsi"/>
                <w:highlight w:val="white"/>
              </w:rPr>
            </w:pPr>
          </w:p>
        </w:tc>
      </w:tr>
      <w:tr w:rsidR="002975F4" w14:paraId="55C3F7AB" w14:textId="77777777">
        <w:tc>
          <w:tcPr>
            <w:tcW w:w="2409" w:type="dxa"/>
          </w:tcPr>
          <w:p w14:paraId="622BBD05" w14:textId="77777777" w:rsidR="002975F4" w:rsidRDefault="00000000">
            <w:pPr>
              <w:rPr>
                <w:rFonts w:asciiTheme="majorHAnsi" w:hAnsiTheme="majorHAnsi" w:cstheme="majorHAnsi"/>
                <w:highlight w:val="white"/>
              </w:rPr>
            </w:pPr>
            <w:r>
              <w:rPr>
                <w:rFonts w:asciiTheme="majorHAnsi" w:hAnsiTheme="majorHAnsi" w:cstheme="majorHAnsi"/>
                <w:highlight w:val="white"/>
              </w:rPr>
              <w:t xml:space="preserve">En qualité de </w:t>
            </w:r>
          </w:p>
        </w:tc>
        <w:tc>
          <w:tcPr>
            <w:tcW w:w="5812" w:type="dxa"/>
          </w:tcPr>
          <w:p w14:paraId="42FF4341" w14:textId="77777777" w:rsidR="002975F4" w:rsidRDefault="002975F4">
            <w:pPr>
              <w:rPr>
                <w:rFonts w:asciiTheme="majorHAnsi" w:hAnsiTheme="majorHAnsi" w:cstheme="majorHAnsi"/>
                <w:highlight w:val="white"/>
              </w:rPr>
            </w:pPr>
          </w:p>
        </w:tc>
      </w:tr>
    </w:tbl>
    <w:p w14:paraId="5A0139E7" w14:textId="77777777" w:rsidR="002975F4" w:rsidRDefault="00000000">
      <w:pPr>
        <w:jc w:val="center"/>
        <w:rPr>
          <w:rFonts w:asciiTheme="majorHAnsi" w:hAnsiTheme="majorHAnsi" w:cstheme="majorHAnsi"/>
          <w:b/>
          <w:bCs/>
          <w:i/>
          <w:iCs/>
          <w:sz w:val="24"/>
          <w:szCs w:val="24"/>
        </w:rPr>
      </w:pPr>
      <w:r>
        <w:rPr>
          <w:rFonts w:asciiTheme="majorHAnsi" w:hAnsiTheme="majorHAnsi" w:cstheme="majorHAnsi"/>
          <w:b/>
          <w:bCs/>
          <w:i/>
          <w:iCs/>
          <w:sz w:val="24"/>
          <w:szCs w:val="24"/>
        </w:rPr>
        <w:t>Ci-après dénommé l’emprunteur</w:t>
      </w:r>
    </w:p>
    <w:p w14:paraId="7C174A80" w14:textId="77777777" w:rsidR="002975F4" w:rsidRDefault="00000000">
      <w:pPr>
        <w:jc w:val="center"/>
        <w:rPr>
          <w:rFonts w:asciiTheme="majorHAnsi" w:hAnsiTheme="majorHAnsi" w:cstheme="majorHAnsi"/>
          <w:b/>
          <w:bCs/>
          <w:sz w:val="24"/>
          <w:szCs w:val="24"/>
        </w:rPr>
      </w:pPr>
      <w:r>
        <w:rPr>
          <w:rFonts w:asciiTheme="majorHAnsi" w:hAnsiTheme="majorHAnsi" w:cstheme="majorHAnsi"/>
          <w:b/>
          <w:bCs/>
          <w:sz w:val="24"/>
          <w:szCs w:val="24"/>
        </w:rPr>
        <w:t>IL EST CONVENU CE QUI SUIT  </w:t>
      </w:r>
    </w:p>
    <w:p w14:paraId="24920CCF"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1</w:t>
      </w:r>
      <w:r>
        <w:rPr>
          <w:rFonts w:asciiTheme="majorHAnsi" w:hAnsiTheme="majorHAnsi" w:cstheme="majorHAnsi"/>
          <w:sz w:val="24"/>
          <w:szCs w:val="24"/>
          <w:u w:val="single"/>
          <w:vertAlign w:val="superscript"/>
        </w:rPr>
        <w:t>er</w:t>
      </w:r>
      <w:r>
        <w:rPr>
          <w:rFonts w:asciiTheme="majorHAnsi" w:hAnsiTheme="majorHAnsi" w:cstheme="majorHAnsi"/>
          <w:sz w:val="24"/>
          <w:szCs w:val="24"/>
          <w:u w:val="single"/>
        </w:rPr>
        <w:t xml:space="preserve"> – objet du contrat </w:t>
      </w:r>
    </w:p>
    <w:p w14:paraId="120221DE" w14:textId="77777777" w:rsidR="002975F4" w:rsidRDefault="00000000">
      <w:pPr>
        <w:rPr>
          <w:rFonts w:asciiTheme="majorHAnsi" w:hAnsiTheme="majorHAnsi" w:cstheme="majorHAnsi"/>
        </w:rPr>
      </w:pPr>
      <w:r>
        <w:rPr>
          <w:rFonts w:asciiTheme="majorHAnsi" w:hAnsiTheme="majorHAnsi" w:cstheme="majorHAnsi"/>
        </w:rPr>
        <w:t xml:space="preserve">Conformément aux articles 1875 à 1891 de l’ancien Code Civil, le prêteur déclare consentir un commodat à l’emprunteur sur les terrains suivants : </w:t>
      </w:r>
    </w:p>
    <w:tbl>
      <w:tblPr>
        <w:tblStyle w:val="Grilledutableau"/>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173"/>
        <w:gridCol w:w="2139"/>
        <w:gridCol w:w="2152"/>
        <w:gridCol w:w="2588"/>
      </w:tblGrid>
      <w:tr w:rsidR="002975F4" w14:paraId="3B6CEEBE" w14:textId="77777777">
        <w:tc>
          <w:tcPr>
            <w:tcW w:w="2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D9EBC1"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lastRenderedPageBreak/>
              <w:t> </w:t>
            </w:r>
          </w:p>
        </w:tc>
        <w:tc>
          <w:tcPr>
            <w:tcW w:w="7129" w:type="dxa"/>
            <w:gridSpan w:val="3"/>
            <w:tcBorders>
              <w:top w:val="single" w:sz="8" w:space="0" w:color="000000"/>
              <w:bottom w:val="single" w:sz="8" w:space="0" w:color="000000"/>
              <w:right w:val="single" w:sz="8" w:space="0" w:color="000000"/>
            </w:tcBorders>
            <w:tcMar>
              <w:top w:w="0" w:type="dxa"/>
              <w:left w:w="108" w:type="dxa"/>
              <w:bottom w:w="0" w:type="dxa"/>
              <w:right w:w="108" w:type="dxa"/>
            </w:tcMar>
          </w:tcPr>
          <w:p w14:paraId="21364E77"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xml:space="preserve">Numéro du lot : </w:t>
            </w:r>
          </w:p>
        </w:tc>
      </w:tr>
      <w:tr w:rsidR="002975F4" w14:paraId="5A450887"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5D0FBBC0"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Région agricole</w:t>
            </w:r>
          </w:p>
        </w:tc>
        <w:tc>
          <w:tcPr>
            <w:tcW w:w="7129" w:type="dxa"/>
            <w:gridSpan w:val="3"/>
            <w:tcBorders>
              <w:bottom w:val="single" w:sz="8" w:space="0" w:color="000000"/>
              <w:right w:val="single" w:sz="8" w:space="0" w:color="000000"/>
            </w:tcBorders>
            <w:tcMar>
              <w:top w:w="0" w:type="dxa"/>
              <w:left w:w="108" w:type="dxa"/>
              <w:bottom w:w="0" w:type="dxa"/>
              <w:right w:w="108" w:type="dxa"/>
            </w:tcMar>
          </w:tcPr>
          <w:p w14:paraId="3FA28E97"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AG_2026_006</w:t>
            </w:r>
          </w:p>
        </w:tc>
      </w:tr>
      <w:tr w:rsidR="002975F4" w14:paraId="41C978FA"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2564FC6F"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Commune et division</w:t>
            </w:r>
          </w:p>
        </w:tc>
        <w:tc>
          <w:tcPr>
            <w:tcW w:w="7129" w:type="dxa"/>
            <w:gridSpan w:val="3"/>
            <w:tcBorders>
              <w:bottom w:val="single" w:sz="8" w:space="0" w:color="000000"/>
              <w:right w:val="single" w:sz="8" w:space="0" w:color="000000"/>
            </w:tcBorders>
            <w:tcMar>
              <w:top w:w="0" w:type="dxa"/>
              <w:left w:w="108" w:type="dxa"/>
              <w:bottom w:w="0" w:type="dxa"/>
              <w:right w:w="108" w:type="dxa"/>
            </w:tcMar>
          </w:tcPr>
          <w:p w14:paraId="2E34FC8D"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QUEVY 4 DIV/GIVRY/A</w:t>
            </w:r>
          </w:p>
        </w:tc>
      </w:tr>
      <w:tr w:rsidR="002975F4" w14:paraId="36C678CB"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6932DACC"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Adresse/Lieu-dit</w:t>
            </w:r>
          </w:p>
        </w:tc>
        <w:tc>
          <w:tcPr>
            <w:tcW w:w="7129" w:type="dxa"/>
            <w:gridSpan w:val="3"/>
            <w:tcBorders>
              <w:bottom w:val="single" w:sz="8" w:space="0" w:color="000000"/>
              <w:right w:val="single" w:sz="8" w:space="0" w:color="000000"/>
            </w:tcBorders>
            <w:tcMar>
              <w:top w:w="0" w:type="dxa"/>
              <w:left w:w="108" w:type="dxa"/>
              <w:bottom w:w="0" w:type="dxa"/>
              <w:right w:w="108" w:type="dxa"/>
            </w:tcMar>
          </w:tcPr>
          <w:p w14:paraId="5F00A4FD"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xml:space="preserve">Fontaine à crayons  -RN de la vallée de la Trouille </w:t>
            </w:r>
          </w:p>
        </w:tc>
      </w:tr>
      <w:tr w:rsidR="002975F4" w14:paraId="34A52726"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7714D963"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75E49C67"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xml:space="preserve">Section et numéro </w:t>
            </w:r>
          </w:p>
        </w:tc>
        <w:tc>
          <w:tcPr>
            <w:tcW w:w="2226" w:type="dxa"/>
            <w:tcBorders>
              <w:bottom w:val="single" w:sz="8" w:space="0" w:color="000000"/>
              <w:right w:val="single" w:sz="8" w:space="0" w:color="000000"/>
            </w:tcBorders>
            <w:tcMar>
              <w:top w:w="0" w:type="dxa"/>
              <w:left w:w="108" w:type="dxa"/>
              <w:bottom w:w="0" w:type="dxa"/>
              <w:right w:w="108" w:type="dxa"/>
            </w:tcMar>
          </w:tcPr>
          <w:p w14:paraId="5E511BEB"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xml:space="preserve">Superficie </w:t>
            </w:r>
          </w:p>
        </w:tc>
        <w:tc>
          <w:tcPr>
            <w:tcW w:w="2679" w:type="dxa"/>
            <w:tcBorders>
              <w:bottom w:val="single" w:sz="8" w:space="0" w:color="000000"/>
              <w:right w:val="single" w:sz="8" w:space="0" w:color="000000"/>
            </w:tcBorders>
            <w:tcMar>
              <w:top w:w="0" w:type="dxa"/>
              <w:left w:w="108" w:type="dxa"/>
              <w:bottom w:w="0" w:type="dxa"/>
              <w:right w:w="108" w:type="dxa"/>
            </w:tcMar>
          </w:tcPr>
          <w:p w14:paraId="68A8F3FD"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xml:space="preserve">Zone au plan de secteur </w:t>
            </w:r>
          </w:p>
        </w:tc>
      </w:tr>
      <w:tr w:rsidR="002975F4" w14:paraId="0BF0F64D"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3EDBA868"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0BD88230"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412</w:t>
            </w:r>
          </w:p>
        </w:tc>
        <w:tc>
          <w:tcPr>
            <w:tcW w:w="2226" w:type="dxa"/>
            <w:tcBorders>
              <w:bottom w:val="single" w:sz="8" w:space="0" w:color="000000"/>
              <w:right w:val="single" w:sz="8" w:space="0" w:color="000000"/>
            </w:tcBorders>
            <w:tcMar>
              <w:top w:w="0" w:type="dxa"/>
              <w:left w:w="108" w:type="dxa"/>
              <w:bottom w:w="0" w:type="dxa"/>
              <w:right w:w="108" w:type="dxa"/>
            </w:tcMar>
          </w:tcPr>
          <w:p w14:paraId="0C072E34"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0.</w:t>
            </w:r>
            <w:r>
              <w:rPr>
                <w:rFonts w:ascii="Calibri" w:eastAsia="Calibri" w:hAnsi="Calibri" w:cs="Calibri"/>
                <w:color w:val="000000"/>
              </w:rPr>
              <w:t xml:space="preserve"> </w:t>
            </w:r>
            <w:r>
              <w:rPr>
                <w:rFonts w:ascii="Calibri Light" w:eastAsia="Calibri Light" w:hAnsi="Calibri Light" w:cs="Calibri Light"/>
                <w:color w:val="000000"/>
              </w:rPr>
              <w:t>7430</w:t>
            </w:r>
          </w:p>
        </w:tc>
        <w:tc>
          <w:tcPr>
            <w:tcW w:w="2679" w:type="dxa"/>
            <w:tcBorders>
              <w:bottom w:val="single" w:sz="8" w:space="0" w:color="000000"/>
              <w:right w:val="single" w:sz="8" w:space="0" w:color="000000"/>
            </w:tcBorders>
            <w:tcMar>
              <w:top w:w="0" w:type="dxa"/>
              <w:left w:w="108" w:type="dxa"/>
              <w:bottom w:w="0" w:type="dxa"/>
              <w:right w:w="108" w:type="dxa"/>
            </w:tcMar>
          </w:tcPr>
          <w:p w14:paraId="0A842E4D"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Espace vert</w:t>
            </w:r>
          </w:p>
        </w:tc>
      </w:tr>
      <w:tr w:rsidR="002975F4" w14:paraId="488DB8EA"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36258F89"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5A005103"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413</w:t>
            </w:r>
          </w:p>
        </w:tc>
        <w:tc>
          <w:tcPr>
            <w:tcW w:w="2226" w:type="dxa"/>
            <w:tcBorders>
              <w:bottom w:val="single" w:sz="8" w:space="0" w:color="000000"/>
              <w:right w:val="single" w:sz="8" w:space="0" w:color="000000"/>
            </w:tcBorders>
            <w:tcMar>
              <w:top w:w="0" w:type="dxa"/>
              <w:left w:w="108" w:type="dxa"/>
              <w:bottom w:w="0" w:type="dxa"/>
              <w:right w:w="108" w:type="dxa"/>
            </w:tcMar>
          </w:tcPr>
          <w:p w14:paraId="5930BC8D"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0.2120</w:t>
            </w:r>
          </w:p>
        </w:tc>
        <w:tc>
          <w:tcPr>
            <w:tcW w:w="2679" w:type="dxa"/>
            <w:tcBorders>
              <w:bottom w:val="single" w:sz="8" w:space="0" w:color="000000"/>
              <w:right w:val="single" w:sz="8" w:space="0" w:color="000000"/>
            </w:tcBorders>
            <w:tcMar>
              <w:top w:w="0" w:type="dxa"/>
              <w:left w:w="108" w:type="dxa"/>
              <w:bottom w:w="0" w:type="dxa"/>
              <w:right w:w="108" w:type="dxa"/>
            </w:tcMar>
          </w:tcPr>
          <w:p w14:paraId="3DBE4C9B"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Espace vert</w:t>
            </w:r>
          </w:p>
        </w:tc>
      </w:tr>
      <w:tr w:rsidR="002975F4" w14:paraId="690437F6"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7FFBC458"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78A84DEA"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414</w:t>
            </w:r>
          </w:p>
        </w:tc>
        <w:tc>
          <w:tcPr>
            <w:tcW w:w="2226" w:type="dxa"/>
            <w:tcBorders>
              <w:bottom w:val="single" w:sz="8" w:space="0" w:color="000000"/>
              <w:right w:val="single" w:sz="8" w:space="0" w:color="000000"/>
            </w:tcBorders>
            <w:tcMar>
              <w:top w:w="0" w:type="dxa"/>
              <w:left w:w="108" w:type="dxa"/>
              <w:bottom w:w="0" w:type="dxa"/>
              <w:right w:w="108" w:type="dxa"/>
            </w:tcMar>
          </w:tcPr>
          <w:p w14:paraId="6BC20437"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0.2120</w:t>
            </w:r>
          </w:p>
        </w:tc>
        <w:tc>
          <w:tcPr>
            <w:tcW w:w="2679" w:type="dxa"/>
            <w:tcBorders>
              <w:bottom w:val="single" w:sz="8" w:space="0" w:color="000000"/>
              <w:right w:val="single" w:sz="8" w:space="0" w:color="000000"/>
            </w:tcBorders>
            <w:tcMar>
              <w:top w:w="0" w:type="dxa"/>
              <w:left w:w="108" w:type="dxa"/>
              <w:bottom w:w="0" w:type="dxa"/>
              <w:right w:w="108" w:type="dxa"/>
            </w:tcMar>
          </w:tcPr>
          <w:p w14:paraId="0D2895B7"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Espace vert</w:t>
            </w:r>
          </w:p>
        </w:tc>
      </w:tr>
      <w:tr w:rsidR="002975F4" w14:paraId="2196A70D"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61E3D831"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7CE9CB5B"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238a</w:t>
            </w:r>
          </w:p>
        </w:tc>
        <w:tc>
          <w:tcPr>
            <w:tcW w:w="2226" w:type="dxa"/>
            <w:tcBorders>
              <w:bottom w:val="single" w:sz="8" w:space="0" w:color="000000"/>
              <w:right w:val="single" w:sz="8" w:space="0" w:color="000000"/>
            </w:tcBorders>
            <w:tcMar>
              <w:top w:w="0" w:type="dxa"/>
              <w:left w:w="108" w:type="dxa"/>
              <w:bottom w:w="0" w:type="dxa"/>
              <w:right w:w="108" w:type="dxa"/>
            </w:tcMar>
          </w:tcPr>
          <w:p w14:paraId="302B500E"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0.2320</w:t>
            </w:r>
          </w:p>
        </w:tc>
        <w:tc>
          <w:tcPr>
            <w:tcW w:w="2679" w:type="dxa"/>
            <w:tcBorders>
              <w:bottom w:val="single" w:sz="8" w:space="0" w:color="000000"/>
              <w:right w:val="single" w:sz="8" w:space="0" w:color="000000"/>
            </w:tcBorders>
            <w:tcMar>
              <w:top w:w="0" w:type="dxa"/>
              <w:left w:w="108" w:type="dxa"/>
              <w:bottom w:w="0" w:type="dxa"/>
              <w:right w:w="108" w:type="dxa"/>
            </w:tcMar>
          </w:tcPr>
          <w:p w14:paraId="08AAF571"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Espace vert</w:t>
            </w:r>
          </w:p>
        </w:tc>
      </w:tr>
      <w:tr w:rsidR="002975F4" w14:paraId="4D70C596"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2B935DA3"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4F7C0DBB"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234</w:t>
            </w:r>
          </w:p>
        </w:tc>
        <w:tc>
          <w:tcPr>
            <w:tcW w:w="2226" w:type="dxa"/>
            <w:tcBorders>
              <w:bottom w:val="single" w:sz="8" w:space="0" w:color="000000"/>
              <w:right w:val="single" w:sz="8" w:space="0" w:color="000000"/>
            </w:tcBorders>
            <w:tcMar>
              <w:top w:w="0" w:type="dxa"/>
              <w:left w:w="108" w:type="dxa"/>
              <w:bottom w:w="0" w:type="dxa"/>
              <w:right w:w="108" w:type="dxa"/>
            </w:tcMar>
          </w:tcPr>
          <w:p w14:paraId="65279EC4"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0.5200</w:t>
            </w:r>
          </w:p>
        </w:tc>
        <w:tc>
          <w:tcPr>
            <w:tcW w:w="2679" w:type="dxa"/>
            <w:tcBorders>
              <w:bottom w:val="single" w:sz="8" w:space="0" w:color="000000"/>
              <w:right w:val="single" w:sz="8" w:space="0" w:color="000000"/>
            </w:tcBorders>
            <w:tcMar>
              <w:top w:w="0" w:type="dxa"/>
              <w:left w:w="108" w:type="dxa"/>
              <w:bottom w:w="0" w:type="dxa"/>
              <w:right w:w="108" w:type="dxa"/>
            </w:tcMar>
          </w:tcPr>
          <w:p w14:paraId="3C02AB42" w14:textId="77777777" w:rsidR="002975F4" w:rsidRDefault="00000000">
            <w:pPr>
              <w:pBdr>
                <w:top w:val="none" w:sz="4" w:space="0" w:color="000000"/>
                <w:left w:val="none" w:sz="4" w:space="0" w:color="000000"/>
                <w:bottom w:val="none" w:sz="4" w:space="0" w:color="000000"/>
                <w:right w:val="none" w:sz="4" w:space="0" w:color="000000"/>
              </w:pBdr>
              <w:tabs>
                <w:tab w:val="left" w:pos="468"/>
              </w:tabs>
            </w:pPr>
            <w:r>
              <w:rPr>
                <w:rFonts w:ascii="Calibri Light" w:eastAsia="Calibri Light" w:hAnsi="Calibri Light" w:cs="Calibri Light"/>
                <w:color w:val="000000"/>
              </w:rPr>
              <w:tab/>
              <w:t>Espace vert</w:t>
            </w:r>
          </w:p>
        </w:tc>
      </w:tr>
      <w:tr w:rsidR="002975F4" w14:paraId="5A814363"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7A58F7AF"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4222FFDE"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221a</w:t>
            </w:r>
          </w:p>
        </w:tc>
        <w:tc>
          <w:tcPr>
            <w:tcW w:w="2226" w:type="dxa"/>
            <w:tcBorders>
              <w:bottom w:val="single" w:sz="8" w:space="0" w:color="000000"/>
              <w:right w:val="single" w:sz="8" w:space="0" w:color="000000"/>
            </w:tcBorders>
            <w:tcMar>
              <w:top w:w="0" w:type="dxa"/>
              <w:left w:w="108" w:type="dxa"/>
              <w:bottom w:w="0" w:type="dxa"/>
              <w:right w:w="108" w:type="dxa"/>
            </w:tcMar>
          </w:tcPr>
          <w:p w14:paraId="53BEB4E6"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1.2050</w:t>
            </w:r>
          </w:p>
        </w:tc>
        <w:tc>
          <w:tcPr>
            <w:tcW w:w="2679" w:type="dxa"/>
            <w:tcBorders>
              <w:bottom w:val="single" w:sz="8" w:space="0" w:color="000000"/>
              <w:right w:val="single" w:sz="8" w:space="0" w:color="000000"/>
            </w:tcBorders>
            <w:tcMar>
              <w:top w:w="0" w:type="dxa"/>
              <w:left w:w="108" w:type="dxa"/>
              <w:bottom w:w="0" w:type="dxa"/>
              <w:right w:w="108" w:type="dxa"/>
            </w:tcMar>
          </w:tcPr>
          <w:p w14:paraId="562EBFCF"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Agricole</w:t>
            </w:r>
          </w:p>
        </w:tc>
      </w:tr>
      <w:tr w:rsidR="002975F4" w14:paraId="17822495"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2C0308FA"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0B7C3AC3"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226</w:t>
            </w:r>
          </w:p>
        </w:tc>
        <w:tc>
          <w:tcPr>
            <w:tcW w:w="2226" w:type="dxa"/>
            <w:tcBorders>
              <w:bottom w:val="single" w:sz="8" w:space="0" w:color="000000"/>
              <w:right w:val="single" w:sz="8" w:space="0" w:color="000000"/>
            </w:tcBorders>
            <w:tcMar>
              <w:top w:w="0" w:type="dxa"/>
              <w:left w:w="108" w:type="dxa"/>
              <w:bottom w:w="0" w:type="dxa"/>
              <w:right w:w="108" w:type="dxa"/>
            </w:tcMar>
          </w:tcPr>
          <w:p w14:paraId="37E6F972"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1.4450</w:t>
            </w:r>
          </w:p>
        </w:tc>
        <w:tc>
          <w:tcPr>
            <w:tcW w:w="2679" w:type="dxa"/>
            <w:tcBorders>
              <w:bottom w:val="single" w:sz="8" w:space="0" w:color="000000"/>
              <w:right w:val="single" w:sz="8" w:space="0" w:color="000000"/>
            </w:tcBorders>
            <w:tcMar>
              <w:top w:w="0" w:type="dxa"/>
              <w:left w:w="108" w:type="dxa"/>
              <w:bottom w:w="0" w:type="dxa"/>
              <w:right w:w="108" w:type="dxa"/>
            </w:tcMar>
          </w:tcPr>
          <w:p w14:paraId="32FC6381"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Agricole</w:t>
            </w:r>
          </w:p>
        </w:tc>
      </w:tr>
      <w:tr w:rsidR="002975F4" w14:paraId="276FF4D5" w14:textId="77777777">
        <w:tc>
          <w:tcPr>
            <w:tcW w:w="2225" w:type="dxa"/>
            <w:tcBorders>
              <w:left w:val="single" w:sz="8" w:space="0" w:color="000000"/>
              <w:bottom w:val="single" w:sz="8" w:space="0" w:color="000000"/>
              <w:right w:val="single" w:sz="8" w:space="0" w:color="000000"/>
            </w:tcBorders>
            <w:tcMar>
              <w:top w:w="0" w:type="dxa"/>
              <w:left w:w="108" w:type="dxa"/>
              <w:bottom w:w="0" w:type="dxa"/>
              <w:right w:w="108" w:type="dxa"/>
            </w:tcMar>
          </w:tcPr>
          <w:p w14:paraId="76C21E00"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w:t>
            </w:r>
          </w:p>
        </w:tc>
        <w:tc>
          <w:tcPr>
            <w:tcW w:w="2225" w:type="dxa"/>
            <w:tcBorders>
              <w:bottom w:val="single" w:sz="8" w:space="0" w:color="000000"/>
              <w:right w:val="single" w:sz="8" w:space="0" w:color="000000"/>
            </w:tcBorders>
            <w:tcMar>
              <w:top w:w="0" w:type="dxa"/>
              <w:left w:w="108" w:type="dxa"/>
              <w:bottom w:w="0" w:type="dxa"/>
              <w:right w:w="108" w:type="dxa"/>
            </w:tcMar>
          </w:tcPr>
          <w:p w14:paraId="1005D6D8"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227</w:t>
            </w:r>
          </w:p>
        </w:tc>
        <w:tc>
          <w:tcPr>
            <w:tcW w:w="2226" w:type="dxa"/>
            <w:tcBorders>
              <w:bottom w:val="single" w:sz="8" w:space="0" w:color="000000"/>
              <w:right w:val="single" w:sz="8" w:space="0" w:color="000000"/>
            </w:tcBorders>
            <w:tcMar>
              <w:top w:w="0" w:type="dxa"/>
              <w:left w:w="108" w:type="dxa"/>
              <w:bottom w:w="0" w:type="dxa"/>
              <w:right w:w="108" w:type="dxa"/>
            </w:tcMar>
          </w:tcPr>
          <w:p w14:paraId="4B0FE539"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0.9380</w:t>
            </w:r>
          </w:p>
        </w:tc>
        <w:tc>
          <w:tcPr>
            <w:tcW w:w="2679" w:type="dxa"/>
            <w:tcBorders>
              <w:bottom w:val="single" w:sz="8" w:space="0" w:color="000000"/>
              <w:right w:val="single" w:sz="8" w:space="0" w:color="000000"/>
            </w:tcBorders>
            <w:tcMar>
              <w:top w:w="0" w:type="dxa"/>
              <w:left w:w="108" w:type="dxa"/>
              <w:bottom w:w="0" w:type="dxa"/>
              <w:right w:w="108" w:type="dxa"/>
            </w:tcMar>
          </w:tcPr>
          <w:p w14:paraId="3BD9A3DC" w14:textId="77777777" w:rsidR="002975F4" w:rsidRDefault="00000000">
            <w:pPr>
              <w:pBdr>
                <w:top w:val="none" w:sz="4" w:space="0" w:color="000000"/>
                <w:left w:val="none" w:sz="4" w:space="0" w:color="000000"/>
                <w:bottom w:val="none" w:sz="4" w:space="0" w:color="000000"/>
                <w:right w:val="none" w:sz="4" w:space="0" w:color="000000"/>
              </w:pBdr>
              <w:jc w:val="center"/>
            </w:pPr>
            <w:r>
              <w:rPr>
                <w:rFonts w:ascii="Calibri Light" w:eastAsia="Calibri Light" w:hAnsi="Calibri Light" w:cs="Calibri Light"/>
                <w:color w:val="000000"/>
              </w:rPr>
              <w:t xml:space="preserve">Espace vert </w:t>
            </w:r>
          </w:p>
        </w:tc>
      </w:tr>
    </w:tbl>
    <w:p w14:paraId="0D1054EA" w14:textId="77777777" w:rsidR="002975F4" w:rsidRDefault="002975F4">
      <w:pPr>
        <w:rPr>
          <w:rFonts w:asciiTheme="majorHAnsi" w:hAnsiTheme="majorHAnsi" w:cstheme="majorHAnsi"/>
        </w:rPr>
      </w:pPr>
    </w:p>
    <w:p w14:paraId="46965E10"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 xml:space="preserve">Article 2 – Définitions </w:t>
      </w:r>
    </w:p>
    <w:p w14:paraId="11A3697A"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Certificat de gestion et d’économie agricole : le certificat attestant la réussite des cours visés à l’article D.99., § 1er, alinéa 1er, 2° du Code wallon de l’agriculture ;</w:t>
      </w:r>
    </w:p>
    <w:p w14:paraId="451222BF"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Chef d’exploitation : la personne physique qui répond aux conditions cumulatives suivantes</w:t>
      </w:r>
    </w:p>
    <w:p w14:paraId="63CBC06B"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elle détient au minimum 20 % des parts de la société ou, lorsque la société compte plus de cinq détenteurs de parts, elle détient au moins un pourcentage de parts correspondant au ratio entre le nombre de détenteurs de parts et la totalité des parts de la société ;</w:t>
      </w:r>
    </w:p>
    <w:p w14:paraId="1AA1AA35"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elle est administratrice ou gérante de la société ;</w:t>
      </w:r>
    </w:p>
    <w:p w14:paraId="470B64DB"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Gestionnaire agréé : l’une des associations suivantes :</w:t>
      </w:r>
    </w:p>
    <w:p w14:paraId="1B2908D7"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Asbl Ardenne &amp; Gaume, n° d’entreprise : 0407.791.760 ;</w:t>
      </w:r>
    </w:p>
    <w:p w14:paraId="1044ED6F"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Asbl Cercles des naturalistes de Belgique, n° d’entreprise : 0412.040.360; </w:t>
      </w:r>
    </w:p>
    <w:p w14:paraId="3F55802F"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Asbl Le Genévrier, n° d’entreprise : 0430.942.987 ; </w:t>
      </w:r>
    </w:p>
    <w:p w14:paraId="4E236224"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Asbl Les Amis de la fagne, n° d’entreprise : 0408.131.260; </w:t>
      </w:r>
    </w:p>
    <w:p w14:paraId="3E78DB77"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Asbl La Ligue royale belge pour la protection des oiseaux, n° d’entreprise : 0414.132.194; </w:t>
      </w:r>
    </w:p>
    <w:p w14:paraId="3D883CA5"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Asbl Patrimoine nature, n° d’entreprise : 0431.988.708 ;</w:t>
      </w:r>
    </w:p>
    <w:p w14:paraId="2E8B6CAB"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Asbl </w:t>
      </w:r>
      <w:proofErr w:type="spellStart"/>
      <w:r>
        <w:rPr>
          <w:rFonts w:asciiTheme="majorHAnsi" w:hAnsiTheme="majorHAnsi" w:cstheme="majorHAnsi"/>
        </w:rPr>
        <w:t>Natagora</w:t>
      </w:r>
      <w:proofErr w:type="spellEnd"/>
      <w:r>
        <w:rPr>
          <w:rFonts w:asciiTheme="majorHAnsi" w:hAnsiTheme="majorHAnsi" w:cstheme="majorHAnsi"/>
        </w:rPr>
        <w:t xml:space="preserve">, n° d’entreprise : 0434.366.097 ; </w:t>
      </w:r>
    </w:p>
    <w:p w14:paraId="35D4B716"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Asbl </w:t>
      </w:r>
      <w:proofErr w:type="spellStart"/>
      <w:r>
        <w:rPr>
          <w:rFonts w:asciiTheme="majorHAnsi" w:hAnsiTheme="majorHAnsi" w:cstheme="majorHAnsi"/>
        </w:rPr>
        <w:t>Virelles</w:t>
      </w:r>
      <w:proofErr w:type="spellEnd"/>
      <w:r>
        <w:rPr>
          <w:rFonts w:asciiTheme="majorHAnsi" w:hAnsiTheme="majorHAnsi" w:cstheme="majorHAnsi"/>
        </w:rPr>
        <w:t xml:space="preserve"> nature, n° d’entreprise : 0441.988.220;</w:t>
      </w:r>
    </w:p>
    <w:p w14:paraId="3C808E1A"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Asbl Amis du parc de la Dyle, n° d’entreprise : 0421.285.351.</w:t>
      </w:r>
    </w:p>
    <w:p w14:paraId="2AD83D62"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 xml:space="preserve">LCN : loi du 12 juillet 1973 sur la conservation de la nature ; </w:t>
      </w:r>
    </w:p>
    <w:p w14:paraId="44B7AC72"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 xml:space="preserve">Qualification à orientation agricole : les qualifications visées à l’article 15, paragraphe 1er de l’arrêté ministériel exécutant l'arrêté du Gouvernement wallon du 23 février 2023 relatif aux notions communes aux interventions et aides de la politique agricole commune et à la conditionnalité, à savoir : </w:t>
      </w:r>
    </w:p>
    <w:p w14:paraId="555F7511"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un master dans une orientation agronomique ;</w:t>
      </w:r>
    </w:p>
    <w:p w14:paraId="4A1AFD58"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lastRenderedPageBreak/>
        <w:t>un bachelier dans une orientation agronomique ;</w:t>
      </w:r>
    </w:p>
    <w:p w14:paraId="0875EF97"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un CESS obtenu à l'issue du cursus de l'enseignement secondaire technique de transition dans une orientation agronomique ;</w:t>
      </w:r>
    </w:p>
    <w:p w14:paraId="2F75266F"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un CESS obtenu à l'issue du cursus de l'enseignement secondaire supérieur ainsi qu'un CQ6 dans une orientation agronomique ;</w:t>
      </w:r>
    </w:p>
    <w:p w14:paraId="3C503B1A"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un certificat de chef d'exploitation agricole obtenu à l'issue d'une formation postscolaire en agriculture organisée en Communauté germanophone.</w:t>
      </w:r>
    </w:p>
    <w:p w14:paraId="6CF838EC"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RN : la réserve naturelle au sens de la LCN ;</w:t>
      </w:r>
    </w:p>
    <w:p w14:paraId="09ACA5D5"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 xml:space="preserve">SIGeC : le système intégré de gestion et de contrôle au sens des articles D.20 et suivants du Code wallon de l’agriculture. </w:t>
      </w:r>
    </w:p>
    <w:p w14:paraId="3F6285AA" w14:textId="77777777" w:rsidR="002975F4" w:rsidRDefault="00000000">
      <w:pPr>
        <w:pStyle w:val="Paragraphedeliste"/>
        <w:numPr>
          <w:ilvl w:val="0"/>
          <w:numId w:val="11"/>
        </w:numPr>
        <w:spacing w:line="360" w:lineRule="auto"/>
        <w:ind w:left="426"/>
        <w:rPr>
          <w:rFonts w:asciiTheme="majorHAnsi" w:hAnsiTheme="majorHAnsi" w:cstheme="majorHAnsi"/>
        </w:rPr>
      </w:pPr>
      <w:r>
        <w:rPr>
          <w:rFonts w:asciiTheme="majorHAnsi" w:hAnsiTheme="majorHAnsi" w:cstheme="majorHAnsi"/>
        </w:rPr>
        <w:t>Société : conformément à l’article 1 :1 du Code des sociétés et des associations, une société est constituée par un acte juridique par lequel une ou plusieurs personnes, dénommées associés, font un apport. Elle a un patrimoine et a pour objet l'exercice d'une ou plusieurs activités déterminées. Un de ses buts est de distribuer ou procurer à ses associés un avantage patrimonial direct ou indirect. Selon la forme choisie, la société bénéficie ou pas de la personnalité juridique.</w:t>
      </w:r>
    </w:p>
    <w:p w14:paraId="41AEA7D2" w14:textId="77777777" w:rsidR="002975F4" w:rsidRDefault="00000000">
      <w:pPr>
        <w:pStyle w:val="Paragraphedeliste"/>
        <w:numPr>
          <w:ilvl w:val="0"/>
          <w:numId w:val="11"/>
        </w:numPr>
        <w:spacing w:line="360" w:lineRule="auto"/>
        <w:ind w:left="426"/>
        <w:rPr>
          <w:rFonts w:asciiTheme="majorHAnsi" w:hAnsiTheme="majorHAnsi" w:cstheme="majorHAnsi"/>
        </w:rPr>
      </w:pPr>
      <w:bookmarkStart w:id="0" w:name="_Hlk163742173"/>
      <w:r>
        <w:rPr>
          <w:rFonts w:asciiTheme="majorHAnsi" w:hAnsiTheme="majorHAnsi" w:cstheme="majorHAnsi"/>
        </w:rPr>
        <w:t>Terrains : les terrains, déclarés ou destinés à l’être dans le SIGeC, mis à disposition dans le cadre du présent cahier des charges, pour lesquels l’utilisation du bail à ferme est incompatible avec les obligations reposant sur le prêteur en matière de gestion des réserves naturelles, soit les biens qui:</w:t>
      </w:r>
    </w:p>
    <w:p w14:paraId="6468EDB1"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 xml:space="preserve">Soit sont gérés par la Région wallonne, et qui : </w:t>
      </w:r>
    </w:p>
    <w:p w14:paraId="2873874E" w14:textId="77777777" w:rsidR="002975F4" w:rsidRDefault="00000000">
      <w:pPr>
        <w:pStyle w:val="Paragraphedeliste"/>
        <w:numPr>
          <w:ilvl w:val="1"/>
          <w:numId w:val="12"/>
        </w:numPr>
        <w:spacing w:line="360" w:lineRule="auto"/>
        <w:rPr>
          <w:rFonts w:asciiTheme="majorHAnsi" w:hAnsiTheme="majorHAnsi" w:cstheme="majorHAnsi"/>
        </w:rPr>
      </w:pPr>
      <w:r>
        <w:rPr>
          <w:rFonts w:asciiTheme="majorHAnsi" w:hAnsiTheme="majorHAnsi" w:cstheme="majorHAnsi"/>
        </w:rPr>
        <w:t>Soit sont situés dans une RN ;</w:t>
      </w:r>
    </w:p>
    <w:p w14:paraId="731A734E" w14:textId="77777777" w:rsidR="002975F4" w:rsidRDefault="00000000">
      <w:pPr>
        <w:pStyle w:val="Paragraphedeliste"/>
        <w:numPr>
          <w:ilvl w:val="1"/>
          <w:numId w:val="12"/>
        </w:numPr>
        <w:spacing w:line="360" w:lineRule="auto"/>
        <w:rPr>
          <w:rFonts w:asciiTheme="majorHAnsi" w:hAnsiTheme="majorHAnsi" w:cstheme="majorHAnsi"/>
        </w:rPr>
      </w:pPr>
      <w:r>
        <w:rPr>
          <w:rFonts w:asciiTheme="majorHAnsi" w:hAnsiTheme="majorHAnsi" w:cstheme="majorHAnsi"/>
        </w:rPr>
        <w:t>Soit ont été acquis par la Région wallonne pour cause d’utilité publique en vue d’y créer ou d’y étendre une RN ;</w:t>
      </w:r>
    </w:p>
    <w:p w14:paraId="58C66B79" w14:textId="77777777" w:rsidR="002975F4" w:rsidRDefault="00000000">
      <w:pPr>
        <w:pStyle w:val="Paragraphedeliste"/>
        <w:numPr>
          <w:ilvl w:val="1"/>
          <w:numId w:val="12"/>
        </w:numPr>
        <w:spacing w:line="360" w:lineRule="auto"/>
        <w:rPr>
          <w:rFonts w:asciiTheme="majorHAnsi" w:hAnsiTheme="majorHAnsi" w:cstheme="majorHAnsi"/>
        </w:rPr>
      </w:pPr>
      <w:r>
        <w:rPr>
          <w:rFonts w:asciiTheme="majorHAnsi" w:hAnsiTheme="majorHAnsi" w:cstheme="majorHAnsi"/>
        </w:rPr>
        <w:t xml:space="preserve">Soit ont fait l’objet d’un transfert de gestion entre services de la Région wallonne en vue d’y créer ou d’y étendre une RN ; </w:t>
      </w:r>
    </w:p>
    <w:p w14:paraId="4F15EFC6" w14:textId="77777777" w:rsidR="002975F4" w:rsidRDefault="00000000">
      <w:pPr>
        <w:pStyle w:val="Paragraphedeliste"/>
        <w:numPr>
          <w:ilvl w:val="1"/>
          <w:numId w:val="12"/>
        </w:numPr>
        <w:spacing w:line="360" w:lineRule="auto"/>
        <w:rPr>
          <w:rFonts w:asciiTheme="majorHAnsi" w:hAnsiTheme="majorHAnsi" w:cstheme="majorHAnsi"/>
        </w:rPr>
      </w:pPr>
      <w:r>
        <w:rPr>
          <w:rFonts w:asciiTheme="majorHAnsi" w:hAnsiTheme="majorHAnsi" w:cstheme="majorHAnsi"/>
        </w:rPr>
        <w:t>Soit ont été confiés en gestion à la Région wallonne par un tiers en vue d’y créer ou d’y étendre une RN ;</w:t>
      </w:r>
    </w:p>
    <w:p w14:paraId="179C7193" w14:textId="77777777" w:rsidR="002975F4" w:rsidRDefault="00000000">
      <w:pPr>
        <w:pStyle w:val="Paragraphedeliste"/>
        <w:numPr>
          <w:ilvl w:val="0"/>
          <w:numId w:val="12"/>
        </w:numPr>
        <w:spacing w:line="360" w:lineRule="auto"/>
        <w:rPr>
          <w:rFonts w:asciiTheme="majorHAnsi" w:hAnsiTheme="majorHAnsi" w:cstheme="majorHAnsi"/>
        </w:rPr>
      </w:pPr>
      <w:r>
        <w:rPr>
          <w:rFonts w:asciiTheme="majorHAnsi" w:hAnsiTheme="majorHAnsi" w:cstheme="majorHAnsi"/>
        </w:rPr>
        <w:t>Soit sont gérés par un gestionnaire agréé, et qui :</w:t>
      </w:r>
    </w:p>
    <w:p w14:paraId="67BDC46E" w14:textId="77777777" w:rsidR="002975F4" w:rsidRDefault="00000000">
      <w:pPr>
        <w:pStyle w:val="Paragraphedeliste"/>
        <w:numPr>
          <w:ilvl w:val="1"/>
          <w:numId w:val="12"/>
        </w:numPr>
        <w:spacing w:line="360" w:lineRule="auto"/>
        <w:rPr>
          <w:rFonts w:asciiTheme="majorHAnsi" w:hAnsiTheme="majorHAnsi" w:cstheme="majorHAnsi"/>
        </w:rPr>
      </w:pPr>
      <w:r>
        <w:rPr>
          <w:rFonts w:asciiTheme="majorHAnsi" w:hAnsiTheme="majorHAnsi" w:cstheme="majorHAnsi"/>
        </w:rPr>
        <w:t xml:space="preserve">Soit ont été confiés en gestion par la Région wallonne au dit gestionnaire agréé en vue d’y créer ou d’y étendre une RN ; </w:t>
      </w:r>
    </w:p>
    <w:p w14:paraId="76259A5B" w14:textId="77777777" w:rsidR="002975F4" w:rsidRDefault="00000000">
      <w:pPr>
        <w:pStyle w:val="Paragraphedeliste"/>
        <w:numPr>
          <w:ilvl w:val="1"/>
          <w:numId w:val="12"/>
        </w:numPr>
        <w:spacing w:line="360" w:lineRule="auto"/>
        <w:rPr>
          <w:rFonts w:asciiTheme="majorHAnsi" w:hAnsiTheme="majorHAnsi" w:cstheme="majorHAnsi"/>
        </w:rPr>
      </w:pPr>
      <w:r>
        <w:rPr>
          <w:rFonts w:asciiTheme="majorHAnsi" w:hAnsiTheme="majorHAnsi" w:cstheme="majorHAnsi"/>
        </w:rPr>
        <w:t>Soit sont propriétés du gestionnaire agréé grâce à une subvention obtenue dans le cadre de la fiche n°97 « renforcer le réseau d’aires protégées en Wallonie » du Plan national pour la reprise et la résilience.</w:t>
      </w:r>
      <w:bookmarkEnd w:id="0"/>
    </w:p>
    <w:p w14:paraId="1B9F9291" w14:textId="77777777" w:rsidR="002975F4" w:rsidRDefault="002975F4">
      <w:pPr>
        <w:rPr>
          <w:rFonts w:asciiTheme="majorHAnsi" w:hAnsiTheme="majorHAnsi" w:cstheme="majorHAnsi"/>
        </w:rPr>
      </w:pPr>
    </w:p>
    <w:p w14:paraId="53C681BE" w14:textId="77777777" w:rsidR="002975F4" w:rsidRDefault="002975F4">
      <w:pPr>
        <w:rPr>
          <w:rFonts w:asciiTheme="majorHAnsi" w:hAnsiTheme="majorHAnsi" w:cstheme="majorHAnsi"/>
          <w:sz w:val="24"/>
          <w:szCs w:val="24"/>
          <w:u w:val="single"/>
        </w:rPr>
      </w:pPr>
    </w:p>
    <w:p w14:paraId="016C314A"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 xml:space="preserve">Article 3 – Durée du contrat </w:t>
      </w:r>
    </w:p>
    <w:p w14:paraId="2EABA080" w14:textId="77777777" w:rsidR="002975F4" w:rsidRDefault="00000000">
      <w:pPr>
        <w:rPr>
          <w:rFonts w:asciiTheme="majorHAnsi" w:hAnsiTheme="majorHAnsi" w:cstheme="majorHAnsi"/>
        </w:rPr>
      </w:pPr>
      <w:r>
        <w:rPr>
          <w:rFonts w:asciiTheme="majorHAnsi" w:hAnsiTheme="majorHAnsi" w:cstheme="majorHAnsi"/>
        </w:rPr>
        <w:t>Le commodat prend cours à la date de signature du présent commodat, pour se terminer de plein droit :</w:t>
      </w:r>
    </w:p>
    <w:p w14:paraId="09392652" w14:textId="77777777" w:rsidR="002975F4" w:rsidRDefault="00000000">
      <w:pPr>
        <w:pStyle w:val="Paragraphedeliste"/>
        <w:numPr>
          <w:ilvl w:val="0"/>
          <w:numId w:val="12"/>
        </w:numPr>
        <w:spacing w:line="276" w:lineRule="auto"/>
        <w:rPr>
          <w:rFonts w:asciiTheme="majorHAnsi" w:hAnsiTheme="majorHAnsi" w:cstheme="majorHAnsi"/>
        </w:rPr>
      </w:pPr>
      <w:r>
        <w:rPr>
          <w:rFonts w:asciiTheme="majorHAnsi" w:hAnsiTheme="majorHAnsi" w:cstheme="majorHAnsi"/>
        </w:rPr>
        <w:t>En cas d’emprunteur unique en personne physique, le jour où l’emprunteur signataire du commodat aura atteint ou aurait dû atteindre l’âge légal de la pension.</w:t>
      </w:r>
    </w:p>
    <w:p w14:paraId="707FD245" w14:textId="77777777" w:rsidR="002975F4" w:rsidRDefault="00000000">
      <w:pPr>
        <w:pStyle w:val="Paragraphedeliste"/>
        <w:numPr>
          <w:ilvl w:val="0"/>
          <w:numId w:val="12"/>
        </w:numPr>
        <w:spacing w:line="276" w:lineRule="auto"/>
        <w:rPr>
          <w:rFonts w:asciiTheme="majorHAnsi" w:hAnsiTheme="majorHAnsi" w:cstheme="majorHAnsi"/>
        </w:rPr>
      </w:pPr>
      <w:r>
        <w:rPr>
          <w:rFonts w:asciiTheme="majorHAnsi" w:hAnsiTheme="majorHAnsi" w:cstheme="majorHAnsi"/>
        </w:rPr>
        <w:t>En cas d’emprunteur unique en société avec personnalité juridique, le jour où le plus jeune chef d’exploitation de la société au jour de la conclusion du commodat, titulaire d'une qualification à orientation agricole ou, à défaut, d'une expérience minimale de trois années en tant qu’agriculteur ou d'un certificat de gestion et d’économie agricole aura atteint ou aurait dû atteindre l’âge légal de la pension.</w:t>
      </w:r>
    </w:p>
    <w:p w14:paraId="72B28548" w14:textId="77777777" w:rsidR="002975F4" w:rsidRDefault="00000000">
      <w:pPr>
        <w:pStyle w:val="Paragraphedeliste"/>
        <w:numPr>
          <w:ilvl w:val="0"/>
          <w:numId w:val="12"/>
        </w:numPr>
        <w:spacing w:line="276" w:lineRule="auto"/>
        <w:rPr>
          <w:rFonts w:asciiTheme="majorHAnsi" w:hAnsiTheme="majorHAnsi" w:cstheme="majorHAnsi"/>
        </w:rPr>
      </w:pPr>
      <w:r>
        <w:rPr>
          <w:rFonts w:asciiTheme="majorHAnsi" w:hAnsiTheme="majorHAnsi" w:cstheme="majorHAnsi"/>
        </w:rPr>
        <w:t>En cas de co-emprunteurs en société sans personnalité juridique, le jour où le plus jeune chef d’exploitation de la société au jour de la conclusion du commodat, titulaire d'une qualification à orientation agricole ou, à défaut, d'une expérience minimale de trois années en tant qu’agriculteur ou d'un certificat de gestion et d’économie agricole aura atteint ou aurait dû atteindre l’âge légal de la pension.</w:t>
      </w:r>
    </w:p>
    <w:p w14:paraId="45B00614" w14:textId="77777777" w:rsidR="002975F4" w:rsidRDefault="00000000">
      <w:pPr>
        <w:jc w:val="both"/>
        <w:rPr>
          <w:rFonts w:asciiTheme="majorHAnsi" w:hAnsiTheme="majorHAnsi" w:cstheme="majorHAnsi"/>
          <w:highlight w:val="white"/>
        </w:rPr>
      </w:pPr>
      <w:r>
        <w:rPr>
          <w:rFonts w:asciiTheme="majorHAnsi" w:hAnsiTheme="majorHAnsi" w:cstheme="majorHAnsi"/>
          <w:highlight w:val="white"/>
        </w:rPr>
        <w:t>La personne prise en compte pour le calcul de l’âge légal de la pension est ……………………. Né(e) le………………</w:t>
      </w:r>
      <w:proofErr w:type="gramStart"/>
      <w:r>
        <w:rPr>
          <w:rFonts w:asciiTheme="majorHAnsi" w:hAnsiTheme="majorHAnsi" w:cstheme="majorHAnsi"/>
          <w:highlight w:val="white"/>
        </w:rPr>
        <w:t>…….</w:t>
      </w:r>
      <w:proofErr w:type="gramEnd"/>
      <w:r>
        <w:rPr>
          <w:rFonts w:asciiTheme="majorHAnsi" w:hAnsiTheme="majorHAnsi" w:cstheme="majorHAnsi"/>
          <w:highlight w:val="white"/>
        </w:rPr>
        <w:t>.</w:t>
      </w:r>
    </w:p>
    <w:p w14:paraId="0CE60EE7" w14:textId="77777777" w:rsidR="002975F4" w:rsidRDefault="00000000">
      <w:pPr>
        <w:jc w:val="both"/>
        <w:rPr>
          <w:rFonts w:asciiTheme="majorHAnsi" w:hAnsiTheme="majorHAnsi" w:cstheme="majorHAnsi"/>
        </w:rPr>
      </w:pPr>
      <w:r>
        <w:rPr>
          <w:rFonts w:asciiTheme="majorHAnsi" w:hAnsiTheme="majorHAnsi" w:cstheme="majorHAnsi"/>
        </w:rPr>
        <w:t>Au terme du commodat, le prêteur retrouve automatiquement la libre disposition de ses terrains sans que l’emprunteur ne puisse s'y opposer.</w:t>
      </w:r>
    </w:p>
    <w:p w14:paraId="70D65B07" w14:textId="77777777" w:rsidR="002975F4" w:rsidRDefault="00000000">
      <w:pPr>
        <w:jc w:val="both"/>
        <w:rPr>
          <w:rFonts w:asciiTheme="majorHAnsi" w:hAnsiTheme="majorHAnsi" w:cstheme="majorHAnsi"/>
        </w:rPr>
      </w:pPr>
      <w:r>
        <w:rPr>
          <w:rFonts w:asciiTheme="majorHAnsi" w:hAnsiTheme="majorHAnsi" w:cstheme="majorHAnsi"/>
        </w:rPr>
        <w:t xml:space="preserve">Lorsque l’emprunteur est laissé dans les lieux au terme du commodat, d’un commun accord entre les parties, ce dernier est reconduit tacitement d’année en année entre les mêmes parties. </w:t>
      </w:r>
    </w:p>
    <w:p w14:paraId="6A6F14B3" w14:textId="77777777" w:rsidR="002975F4" w:rsidRDefault="00000000">
      <w:pPr>
        <w:jc w:val="both"/>
        <w:rPr>
          <w:rFonts w:asciiTheme="majorHAnsi" w:hAnsiTheme="majorHAnsi" w:cstheme="majorHAnsi"/>
        </w:rPr>
      </w:pPr>
      <w:r>
        <w:rPr>
          <w:rFonts w:asciiTheme="majorHAnsi" w:hAnsiTheme="majorHAnsi" w:cstheme="majorHAnsi"/>
        </w:rPr>
        <w:t>Il pourra être mis fin en tout ou en partie au commodat durant cette période de tacite reconduction moyennant un congé notifié par l'une ou l'autre des parties au moins trois mois avant la date anniversaire du commodat. En cas de culture annuelle, le commodat est toutefois prolongé pour permettre à l’emprunteur d'enlever la récolte croissante.</w:t>
      </w:r>
    </w:p>
    <w:p w14:paraId="427A0C4A"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 xml:space="preserve">Article 4 – Coût </w:t>
      </w:r>
    </w:p>
    <w:p w14:paraId="5F3656FC" w14:textId="77777777" w:rsidR="002975F4" w:rsidRDefault="00000000">
      <w:pPr>
        <w:jc w:val="both"/>
        <w:rPr>
          <w:rFonts w:asciiTheme="majorHAnsi" w:hAnsiTheme="majorHAnsi" w:cstheme="majorHAnsi"/>
        </w:rPr>
      </w:pPr>
      <w:r>
        <w:rPr>
          <w:rFonts w:asciiTheme="majorHAnsi" w:hAnsiTheme="majorHAnsi" w:cstheme="majorHAnsi"/>
        </w:rPr>
        <w:t>Le commodat est conclu à titre gratuit.</w:t>
      </w:r>
    </w:p>
    <w:p w14:paraId="42B3F529" w14:textId="77777777" w:rsidR="002975F4" w:rsidRDefault="00000000">
      <w:pPr>
        <w:jc w:val="both"/>
        <w:rPr>
          <w:rFonts w:asciiTheme="majorHAnsi" w:hAnsiTheme="majorHAnsi" w:cstheme="majorHAnsi"/>
        </w:rPr>
      </w:pPr>
      <w:r>
        <w:rPr>
          <w:rFonts w:asciiTheme="majorHAnsi" w:hAnsiTheme="majorHAnsi" w:cstheme="majorHAnsi"/>
        </w:rPr>
        <w:t>Le précompte immobilier et tous autres taxes, redevances ou impôts pouvant grever les terrains sont à charge du prêteur.</w:t>
      </w:r>
    </w:p>
    <w:p w14:paraId="0CD10A27" w14:textId="77777777" w:rsidR="002975F4" w:rsidRDefault="00000000">
      <w:pPr>
        <w:jc w:val="both"/>
        <w:rPr>
          <w:rFonts w:asciiTheme="majorHAnsi" w:hAnsiTheme="majorHAnsi" w:cstheme="majorHAnsi"/>
        </w:rPr>
      </w:pPr>
      <w:r>
        <w:rPr>
          <w:rFonts w:asciiTheme="majorHAnsi" w:hAnsiTheme="majorHAnsi" w:cstheme="majorHAnsi"/>
        </w:rPr>
        <w:t xml:space="preserve">Si, pour user des terrains, l’emprunteur a fait quelque dépense, il ne peut en demander remboursement. </w:t>
      </w:r>
    </w:p>
    <w:p w14:paraId="4A7F2EFE"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5 – Etat de destination</w:t>
      </w:r>
    </w:p>
    <w:p w14:paraId="0C3AA24A" w14:textId="77777777" w:rsidR="002975F4" w:rsidRDefault="00000000">
      <w:pPr>
        <w:jc w:val="both"/>
        <w:rPr>
          <w:rFonts w:asciiTheme="majorHAnsi" w:hAnsiTheme="majorHAnsi" w:cstheme="majorHAnsi"/>
        </w:rPr>
      </w:pPr>
      <w:r>
        <w:rPr>
          <w:rFonts w:asciiTheme="majorHAnsi" w:hAnsiTheme="majorHAnsi" w:cstheme="majorHAnsi"/>
        </w:rPr>
        <w:t>Le prêteur et l’emprunteur dressent un état des lieux d'entrée détaillé contradictoirement et à frais communs. Il constit</w:t>
      </w:r>
      <w:r>
        <w:rPr>
          <w:rFonts w:asciiTheme="majorHAnsi" w:hAnsiTheme="majorHAnsi" w:cstheme="majorHAnsi"/>
          <w:highlight w:val="white"/>
        </w:rPr>
        <w:t>ue l’annexe A au p</w:t>
      </w:r>
      <w:r>
        <w:rPr>
          <w:rFonts w:asciiTheme="majorHAnsi" w:hAnsiTheme="majorHAnsi" w:cstheme="majorHAnsi"/>
        </w:rPr>
        <w:t>résent commodat et en fait partie intégrante. </w:t>
      </w:r>
    </w:p>
    <w:p w14:paraId="4070A675" w14:textId="77777777" w:rsidR="002975F4" w:rsidRDefault="00000000">
      <w:pPr>
        <w:jc w:val="both"/>
        <w:rPr>
          <w:rFonts w:asciiTheme="majorHAnsi" w:hAnsiTheme="majorHAnsi" w:cstheme="majorHAnsi"/>
        </w:rPr>
      </w:pPr>
      <w:r>
        <w:rPr>
          <w:rFonts w:asciiTheme="majorHAnsi" w:hAnsiTheme="majorHAnsi" w:cstheme="majorHAnsi"/>
        </w:rPr>
        <w:t>Les terrains sont destinés à une activité agricole conforme au plan de gestion de l’annexe B qui fait partie intégrante de la présente convention.</w:t>
      </w:r>
    </w:p>
    <w:p w14:paraId="3CAEAB79" w14:textId="77777777" w:rsidR="002975F4" w:rsidRDefault="00000000">
      <w:pPr>
        <w:jc w:val="both"/>
        <w:rPr>
          <w:rFonts w:asciiTheme="majorHAnsi" w:hAnsiTheme="majorHAnsi" w:cstheme="majorHAnsi"/>
        </w:rPr>
      </w:pPr>
      <w:r>
        <w:rPr>
          <w:rFonts w:asciiTheme="majorHAnsi" w:hAnsiTheme="majorHAnsi" w:cstheme="majorHAnsi"/>
        </w:rPr>
        <w:t xml:space="preserve">L’emprunteur ne pourra modifier d'une quelconque manière la destination des terrains prêtés sans l’accord écrit et préalable du prêteur.  En cas de modification non autorisée, le prêteur pourra résilier </w:t>
      </w:r>
      <w:r>
        <w:rPr>
          <w:rFonts w:asciiTheme="majorHAnsi" w:hAnsiTheme="majorHAnsi" w:cstheme="majorHAnsi"/>
        </w:rPr>
        <w:lastRenderedPageBreak/>
        <w:t>le contrat conformément à l’article 12 et sans préjudice d’éventuels dommages et intérêts qu’il pourrait réclamer.</w:t>
      </w:r>
    </w:p>
    <w:p w14:paraId="13F51A0D"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6 – Servitude et usurpation</w:t>
      </w:r>
    </w:p>
    <w:p w14:paraId="3CF51713" w14:textId="77777777" w:rsidR="002975F4" w:rsidRDefault="00000000">
      <w:pPr>
        <w:jc w:val="both"/>
        <w:rPr>
          <w:rFonts w:asciiTheme="majorHAnsi" w:hAnsiTheme="majorHAnsi" w:cstheme="majorHAnsi"/>
        </w:rPr>
      </w:pPr>
      <w:r>
        <w:rPr>
          <w:rFonts w:asciiTheme="majorHAnsi" w:hAnsiTheme="majorHAnsi" w:cstheme="majorHAnsi"/>
        </w:rPr>
        <w:t>L’emprunteur prend les terrains dans l’état dans lequel ils se trouvent avec toutes les servitudes actives et passives qui peuvent y être attachées.</w:t>
      </w:r>
    </w:p>
    <w:p w14:paraId="21831024" w14:textId="77777777" w:rsidR="002975F4" w:rsidRDefault="00000000">
      <w:pPr>
        <w:jc w:val="both"/>
        <w:rPr>
          <w:rFonts w:asciiTheme="majorHAnsi" w:hAnsiTheme="majorHAnsi" w:cstheme="majorHAnsi"/>
        </w:rPr>
      </w:pPr>
      <w:r>
        <w:rPr>
          <w:rFonts w:asciiTheme="majorHAnsi" w:hAnsiTheme="majorHAnsi" w:cstheme="majorHAnsi"/>
        </w:rPr>
        <w:t xml:space="preserve">Si une servitude active est attachée aux terrains, l’emprunteur s’opposera à la prescription de celle-ci. Servitudes actives : </w:t>
      </w:r>
    </w:p>
    <w:p w14:paraId="3C0EFF8F" w14:textId="77777777" w:rsidR="002975F4" w:rsidRDefault="00000000">
      <w:pPr>
        <w:jc w:val="both"/>
        <w:rPr>
          <w:rFonts w:asciiTheme="majorHAnsi" w:hAnsiTheme="majorHAnsi" w:cstheme="majorHAnsi"/>
        </w:rPr>
      </w:pPr>
      <w:r>
        <w:rPr>
          <w:rFonts w:asciiTheme="majorHAnsi" w:hAnsiTheme="majorHAnsi" w:cstheme="majorHAnsi"/>
        </w:rPr>
        <w:t xml:space="preserve">Une </w:t>
      </w:r>
      <w:proofErr w:type="spellStart"/>
      <w:r>
        <w:rPr>
          <w:rFonts w:asciiTheme="majorHAnsi" w:hAnsiTheme="majorHAnsi" w:cstheme="majorHAnsi"/>
        </w:rPr>
        <w:t>servitue</w:t>
      </w:r>
      <w:proofErr w:type="spellEnd"/>
      <w:r>
        <w:rPr>
          <w:rFonts w:asciiTheme="majorHAnsi" w:hAnsiTheme="majorHAnsi" w:cstheme="majorHAnsi"/>
        </w:rPr>
        <w:t xml:space="preserve"> publique pour arriver aux parcelles 412.413 et 414</w:t>
      </w:r>
    </w:p>
    <w:p w14:paraId="266ED98E" w14:textId="77777777" w:rsidR="002975F4" w:rsidRDefault="00000000">
      <w:pPr>
        <w:jc w:val="both"/>
        <w:rPr>
          <w:rFonts w:asciiTheme="majorHAnsi" w:hAnsiTheme="majorHAnsi" w:cstheme="majorHAnsi"/>
        </w:rPr>
      </w:pPr>
      <w:r>
        <w:rPr>
          <w:rFonts w:asciiTheme="majorHAnsi" w:hAnsiTheme="majorHAnsi" w:cstheme="majorHAnsi"/>
        </w:rPr>
        <w:t xml:space="preserve">L’emprunteur s’opposera également à la constitution de nouvelles servitudes et veillera à en avertir le prêteur dans les plus brefs délais. </w:t>
      </w:r>
    </w:p>
    <w:p w14:paraId="059CF6CE" w14:textId="77777777" w:rsidR="002975F4" w:rsidRDefault="00000000">
      <w:pPr>
        <w:jc w:val="both"/>
        <w:rPr>
          <w:rFonts w:asciiTheme="majorHAnsi" w:hAnsiTheme="majorHAnsi" w:cstheme="majorHAnsi"/>
        </w:rPr>
      </w:pPr>
      <w:r>
        <w:rPr>
          <w:rFonts w:asciiTheme="majorHAnsi" w:hAnsiTheme="majorHAnsi" w:cstheme="majorHAnsi"/>
        </w:rPr>
        <w:t>L’emprunteur sera tenu, sous peine de dommages-intérêts et dépens, d'avertir le prêteur des usurpations qui viendraient à être commises sur les terrains mis à disposition. L’emprunteur dispose de 8 jours à dater de la prise de connaissance de l’usurpation pour avertir le prêteur s’il réside en Belgique. S’il réside hors du territoire belge, il est renvoyé à l’article 55 du Code judiciaire. Par usurpation, il faut entendre tout trouble de fait ou de droit manifestant dans le chef d’un tiers la volonté de prendre possession des terrains du prêteur. À titre d’exemple, l’emprunteur devra dénoncer le déplacement de bornes, de fossés ou de chemins et informer le prêteur de toute revendication.</w:t>
      </w:r>
    </w:p>
    <w:p w14:paraId="71B4E49F"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7 – Usage et entretien</w:t>
      </w:r>
    </w:p>
    <w:p w14:paraId="43B392E9" w14:textId="77777777" w:rsidR="002975F4" w:rsidRDefault="00000000">
      <w:pPr>
        <w:jc w:val="both"/>
        <w:rPr>
          <w:rFonts w:asciiTheme="majorHAnsi" w:hAnsiTheme="majorHAnsi" w:cstheme="majorHAnsi"/>
        </w:rPr>
      </w:pPr>
      <w:r>
        <w:rPr>
          <w:rFonts w:asciiTheme="majorHAnsi" w:hAnsiTheme="majorHAnsi" w:cstheme="majorHAnsi"/>
        </w:rPr>
        <w:t>§1</w:t>
      </w:r>
      <w:r>
        <w:rPr>
          <w:rFonts w:asciiTheme="majorHAnsi" w:hAnsiTheme="majorHAnsi" w:cstheme="majorHAnsi"/>
          <w:vertAlign w:val="superscript"/>
        </w:rPr>
        <w:t>er</w:t>
      </w:r>
      <w:r>
        <w:rPr>
          <w:rFonts w:asciiTheme="majorHAnsi" w:hAnsiTheme="majorHAnsi" w:cstheme="majorHAnsi"/>
        </w:rPr>
        <w:t>. L’emprunteur jouit des terrains conformément à leur destination, de manière prudente et diligente et en respectant les dispositions légales.</w:t>
      </w:r>
    </w:p>
    <w:p w14:paraId="5B17C4E4" w14:textId="77777777" w:rsidR="002975F4" w:rsidRDefault="00000000">
      <w:pPr>
        <w:jc w:val="both"/>
        <w:rPr>
          <w:rFonts w:asciiTheme="majorHAnsi" w:hAnsiTheme="majorHAnsi" w:cstheme="majorHAnsi"/>
        </w:rPr>
      </w:pPr>
      <w:r>
        <w:rPr>
          <w:rFonts w:asciiTheme="majorHAnsi" w:hAnsiTheme="majorHAnsi" w:cstheme="majorHAnsi"/>
        </w:rPr>
        <w:t>§2. Afin de respecter le plan de gestion visé</w:t>
      </w:r>
      <w:r>
        <w:rPr>
          <w:rFonts w:asciiTheme="majorHAnsi" w:hAnsiTheme="majorHAnsi" w:cstheme="majorHAnsi"/>
          <w:highlight w:val="white"/>
        </w:rPr>
        <w:t xml:space="preserve"> en annexe B, les mod</w:t>
      </w:r>
      <w:r>
        <w:rPr>
          <w:rFonts w:asciiTheme="majorHAnsi" w:hAnsiTheme="majorHAnsi" w:cstheme="majorHAnsi"/>
        </w:rPr>
        <w:t xml:space="preserve">alités de fauchage/pâturage des terrains mis à disposition sont fixées annuellement par le prêteur </w:t>
      </w:r>
      <w:bookmarkStart w:id="1" w:name="_Hlk162529848"/>
      <w:r>
        <w:rPr>
          <w:rFonts w:asciiTheme="majorHAnsi" w:hAnsiTheme="majorHAnsi" w:cstheme="majorHAnsi"/>
        </w:rPr>
        <w:t>par un envoi recommandé ou dans un écrit contresigné par l’emprunteu</w:t>
      </w:r>
      <w:r>
        <w:rPr>
          <w:rFonts w:asciiTheme="majorHAnsi" w:hAnsiTheme="majorHAnsi" w:cstheme="majorHAnsi"/>
          <w:highlight w:val="white"/>
        </w:rPr>
        <w:t xml:space="preserve">r, avant le 15 du mois d’avril . </w:t>
      </w:r>
      <w:bookmarkEnd w:id="1"/>
      <w:r>
        <w:rPr>
          <w:rFonts w:asciiTheme="majorHAnsi" w:hAnsiTheme="majorHAnsi" w:cstheme="majorHAnsi"/>
          <w:highlight w:val="white"/>
        </w:rPr>
        <w:t xml:space="preserve">A défaut </w:t>
      </w:r>
      <w:r>
        <w:rPr>
          <w:rFonts w:asciiTheme="majorHAnsi" w:hAnsiTheme="majorHAnsi" w:cstheme="majorHAnsi"/>
        </w:rPr>
        <w:t>de notification ou d’écrit contresigné par l’emprunteur, les modalités de fauchage/pâturage fixées pour l’année précédente sont d’application.</w:t>
      </w:r>
    </w:p>
    <w:p w14:paraId="39E94D46" w14:textId="77777777" w:rsidR="002975F4" w:rsidRDefault="00000000">
      <w:pPr>
        <w:jc w:val="both"/>
        <w:rPr>
          <w:rFonts w:asciiTheme="majorHAnsi" w:hAnsiTheme="majorHAnsi" w:cstheme="majorHAnsi"/>
        </w:rPr>
      </w:pPr>
      <w:r>
        <w:rPr>
          <w:rFonts w:asciiTheme="majorHAnsi" w:hAnsiTheme="majorHAnsi" w:cstheme="majorHAnsi"/>
        </w:rPr>
        <w:t>Ces modalités ne peuvent s’écarter des balises fixées dans le tableau suivant (</w:t>
      </w:r>
      <w:r>
        <w:rPr>
          <w:rFonts w:asciiTheme="majorHAnsi" w:hAnsiTheme="majorHAnsi" w:cstheme="majorHAnsi"/>
          <w:i/>
          <w:iCs/>
        </w:rPr>
        <w:t>En cas d’utilisation des deux modes d’exploitation sur des parties de parcelles distinctes, joindre un plan en annexe. En cas de pâturage à faible charge avec nécessité de fauchage complémentaire, le préciser dans les modalités</w:t>
      </w:r>
      <w:r>
        <w:rPr>
          <w:rFonts w:asciiTheme="majorHAnsi" w:hAnsiTheme="majorHAnsi" w:cstheme="majorHAnsi"/>
        </w:rPr>
        <w:t>) :</w:t>
      </w:r>
    </w:p>
    <w:tbl>
      <w:tblPr>
        <w:tblStyle w:val="Grilledutableau"/>
        <w:tblW w:w="0" w:type="auto"/>
        <w:tblLook w:val="04A0" w:firstRow="1" w:lastRow="0" w:firstColumn="1" w:lastColumn="0" w:noHBand="0" w:noVBand="1"/>
      </w:tblPr>
      <w:tblGrid>
        <w:gridCol w:w="1812"/>
        <w:gridCol w:w="1812"/>
        <w:gridCol w:w="1812"/>
        <w:gridCol w:w="1813"/>
        <w:gridCol w:w="1813"/>
      </w:tblGrid>
      <w:tr w:rsidR="002975F4" w14:paraId="3DCBAB2A" w14:textId="77777777">
        <w:tc>
          <w:tcPr>
            <w:tcW w:w="1812" w:type="dxa"/>
          </w:tcPr>
          <w:p w14:paraId="4646463A" w14:textId="77777777" w:rsidR="002975F4" w:rsidRDefault="002975F4">
            <w:pPr>
              <w:rPr>
                <w:rFonts w:asciiTheme="majorHAnsi" w:hAnsiTheme="majorHAnsi" w:cstheme="majorHAnsi"/>
              </w:rPr>
            </w:pPr>
          </w:p>
        </w:tc>
        <w:tc>
          <w:tcPr>
            <w:tcW w:w="1812" w:type="dxa"/>
          </w:tcPr>
          <w:p w14:paraId="11010A12" w14:textId="77777777" w:rsidR="002975F4" w:rsidRDefault="00000000">
            <w:pPr>
              <w:rPr>
                <w:rFonts w:asciiTheme="majorHAnsi" w:hAnsiTheme="majorHAnsi" w:cstheme="majorHAnsi"/>
              </w:rPr>
            </w:pPr>
            <w:r>
              <w:rPr>
                <w:rFonts w:asciiTheme="majorHAnsi" w:hAnsiTheme="majorHAnsi" w:cstheme="majorHAnsi"/>
              </w:rPr>
              <w:t>Période (min – max)</w:t>
            </w:r>
          </w:p>
        </w:tc>
        <w:tc>
          <w:tcPr>
            <w:tcW w:w="1812" w:type="dxa"/>
          </w:tcPr>
          <w:p w14:paraId="6FEC16B3" w14:textId="77777777" w:rsidR="002975F4" w:rsidRDefault="00000000">
            <w:pPr>
              <w:rPr>
                <w:rFonts w:asciiTheme="majorHAnsi" w:hAnsiTheme="majorHAnsi" w:cstheme="majorHAnsi"/>
              </w:rPr>
            </w:pPr>
            <w:r>
              <w:rPr>
                <w:rFonts w:asciiTheme="majorHAnsi" w:hAnsiTheme="majorHAnsi" w:cstheme="majorHAnsi"/>
              </w:rPr>
              <w:t>Charge (min – max)</w:t>
            </w:r>
          </w:p>
        </w:tc>
        <w:tc>
          <w:tcPr>
            <w:tcW w:w="1813" w:type="dxa"/>
          </w:tcPr>
          <w:p w14:paraId="4F2FB9C7" w14:textId="77777777" w:rsidR="002975F4" w:rsidRDefault="00000000">
            <w:pPr>
              <w:rPr>
                <w:rFonts w:asciiTheme="majorHAnsi" w:hAnsiTheme="majorHAnsi" w:cstheme="majorHAnsi"/>
              </w:rPr>
            </w:pPr>
            <w:r>
              <w:rPr>
                <w:rFonts w:asciiTheme="majorHAnsi" w:hAnsiTheme="majorHAnsi" w:cstheme="majorHAnsi"/>
              </w:rPr>
              <w:t>Modalités</w:t>
            </w:r>
          </w:p>
        </w:tc>
        <w:tc>
          <w:tcPr>
            <w:tcW w:w="1813" w:type="dxa"/>
          </w:tcPr>
          <w:p w14:paraId="74F6DEBB" w14:textId="77777777" w:rsidR="002975F4" w:rsidRDefault="00000000">
            <w:pPr>
              <w:rPr>
                <w:rFonts w:asciiTheme="majorHAnsi" w:hAnsiTheme="majorHAnsi" w:cstheme="majorHAnsi"/>
              </w:rPr>
            </w:pPr>
            <w:r>
              <w:rPr>
                <w:rFonts w:asciiTheme="majorHAnsi" w:hAnsiTheme="majorHAnsi" w:cstheme="majorHAnsi"/>
              </w:rPr>
              <w:t>N° de parcelles</w:t>
            </w:r>
          </w:p>
        </w:tc>
      </w:tr>
      <w:tr w:rsidR="002975F4" w14:paraId="7217932E" w14:textId="77777777">
        <w:tc>
          <w:tcPr>
            <w:tcW w:w="1812" w:type="dxa"/>
          </w:tcPr>
          <w:p w14:paraId="49722E38" w14:textId="77777777" w:rsidR="002975F4" w:rsidRDefault="00000000">
            <w:pPr>
              <w:rPr>
                <w:rFonts w:asciiTheme="majorHAnsi" w:hAnsiTheme="majorHAnsi" w:cstheme="majorHAnsi"/>
              </w:rPr>
            </w:pPr>
            <w:r>
              <w:rPr>
                <w:rFonts w:asciiTheme="majorHAnsi" w:hAnsiTheme="majorHAnsi" w:cstheme="majorHAnsi"/>
              </w:rPr>
              <w:t>Fauchage</w:t>
            </w:r>
          </w:p>
        </w:tc>
        <w:tc>
          <w:tcPr>
            <w:tcW w:w="1812" w:type="dxa"/>
          </w:tcPr>
          <w:p w14:paraId="3C63EA84" w14:textId="77777777" w:rsidR="002975F4" w:rsidRDefault="00000000">
            <w:pPr>
              <w:rPr>
                <w:rFonts w:asciiTheme="majorHAnsi" w:hAnsiTheme="majorHAnsi" w:cstheme="majorHAnsi"/>
              </w:rPr>
            </w:pPr>
            <w:r>
              <w:rPr>
                <w:rFonts w:asciiTheme="majorHAnsi" w:hAnsiTheme="majorHAnsi" w:cstheme="majorHAnsi"/>
              </w:rPr>
              <w:t xml:space="preserve">1er juillet au 31 octobre </w:t>
            </w:r>
          </w:p>
        </w:tc>
        <w:tc>
          <w:tcPr>
            <w:tcW w:w="1812" w:type="dxa"/>
          </w:tcPr>
          <w:p w14:paraId="6028B16D" w14:textId="77777777" w:rsidR="002975F4" w:rsidRDefault="002975F4">
            <w:pPr>
              <w:rPr>
                <w:rFonts w:asciiTheme="majorHAnsi" w:hAnsiTheme="majorHAnsi" w:cstheme="majorHAnsi"/>
              </w:rPr>
            </w:pPr>
          </w:p>
        </w:tc>
        <w:tc>
          <w:tcPr>
            <w:tcW w:w="1813" w:type="dxa"/>
          </w:tcPr>
          <w:p w14:paraId="142B9CE2" w14:textId="77777777" w:rsidR="002975F4" w:rsidRDefault="00000000">
            <w:pPr>
              <w:rPr>
                <w:rFonts w:asciiTheme="majorHAnsi" w:hAnsiTheme="majorHAnsi" w:cstheme="majorHAnsi"/>
              </w:rPr>
            </w:pPr>
            <w:r>
              <w:rPr>
                <w:rFonts w:asciiTheme="majorHAnsi" w:hAnsiTheme="majorHAnsi" w:cstheme="majorHAnsi"/>
              </w:rPr>
              <w:t xml:space="preserve">10% de zone refuge </w:t>
            </w:r>
          </w:p>
        </w:tc>
        <w:tc>
          <w:tcPr>
            <w:tcW w:w="1813" w:type="dxa"/>
            <w:vMerge w:val="restart"/>
          </w:tcPr>
          <w:p w14:paraId="682E4E5C" w14:textId="77777777" w:rsidR="002975F4" w:rsidRDefault="00000000">
            <w:pPr>
              <w:rPr>
                <w:rFonts w:asciiTheme="majorHAnsi" w:hAnsiTheme="majorHAnsi" w:cstheme="majorHAnsi"/>
              </w:rPr>
            </w:pPr>
            <w:r>
              <w:rPr>
                <w:rFonts w:asciiTheme="majorHAnsi" w:hAnsiTheme="majorHAnsi" w:cstheme="majorHAnsi"/>
              </w:rPr>
              <w:t>221a, 226 et 227</w:t>
            </w:r>
          </w:p>
          <w:p w14:paraId="53810B78" w14:textId="55286231" w:rsidR="002975F4" w:rsidRDefault="00000000">
            <w:pPr>
              <w:rPr>
                <w:rFonts w:asciiTheme="majorHAnsi" w:hAnsiTheme="majorHAnsi" w:cstheme="majorHAnsi"/>
              </w:rPr>
            </w:pPr>
            <w:r>
              <w:rPr>
                <w:rFonts w:asciiTheme="majorHAnsi" w:hAnsiTheme="majorHAnsi" w:cstheme="majorHAnsi"/>
              </w:rPr>
              <w:t xml:space="preserve">—&gt; une des deux modalités fauche ou </w:t>
            </w:r>
            <w:r w:rsidR="00D33829">
              <w:rPr>
                <w:rFonts w:asciiTheme="majorHAnsi" w:hAnsiTheme="majorHAnsi" w:cstheme="majorHAnsi"/>
              </w:rPr>
              <w:t>pâturage</w:t>
            </w:r>
            <w:r>
              <w:rPr>
                <w:rFonts w:asciiTheme="majorHAnsi" w:hAnsiTheme="majorHAnsi" w:cstheme="majorHAnsi"/>
              </w:rPr>
              <w:t xml:space="preserve"> </w:t>
            </w:r>
          </w:p>
          <w:p w14:paraId="18A1D197" w14:textId="77777777" w:rsidR="002975F4" w:rsidRDefault="002975F4">
            <w:pPr>
              <w:rPr>
                <w:rFonts w:asciiTheme="majorHAnsi" w:hAnsiTheme="majorHAnsi" w:cstheme="majorHAnsi"/>
              </w:rPr>
            </w:pPr>
          </w:p>
          <w:p w14:paraId="12F23CEA" w14:textId="77777777" w:rsidR="002975F4" w:rsidRDefault="002975F4">
            <w:pPr>
              <w:rPr>
                <w:rFonts w:asciiTheme="majorHAnsi" w:hAnsiTheme="majorHAnsi" w:cstheme="majorHAnsi"/>
              </w:rPr>
            </w:pPr>
          </w:p>
        </w:tc>
      </w:tr>
      <w:tr w:rsidR="002975F4" w14:paraId="347622A0" w14:textId="77777777">
        <w:tc>
          <w:tcPr>
            <w:tcW w:w="1812" w:type="dxa"/>
          </w:tcPr>
          <w:p w14:paraId="0D763211" w14:textId="77777777" w:rsidR="002975F4" w:rsidRDefault="00000000">
            <w:pPr>
              <w:rPr>
                <w:rFonts w:asciiTheme="majorHAnsi" w:hAnsiTheme="majorHAnsi" w:cstheme="majorHAnsi"/>
              </w:rPr>
            </w:pPr>
            <w:r>
              <w:rPr>
                <w:rFonts w:asciiTheme="majorHAnsi" w:hAnsiTheme="majorHAnsi" w:cstheme="majorHAnsi"/>
              </w:rPr>
              <w:t>Pâturage</w:t>
            </w:r>
          </w:p>
        </w:tc>
        <w:tc>
          <w:tcPr>
            <w:tcW w:w="1812" w:type="dxa"/>
          </w:tcPr>
          <w:p w14:paraId="0A6B6E73" w14:textId="77777777" w:rsidR="002975F4" w:rsidRDefault="00000000">
            <w:pPr>
              <w:rPr>
                <w:rFonts w:asciiTheme="majorHAnsi" w:hAnsiTheme="majorHAnsi" w:cstheme="majorHAnsi"/>
              </w:rPr>
            </w:pPr>
            <w:r>
              <w:rPr>
                <w:rFonts w:asciiTheme="majorHAnsi" w:hAnsiTheme="majorHAnsi" w:cstheme="majorHAnsi"/>
              </w:rPr>
              <w:t xml:space="preserve">1er juillet au 31 octobre </w:t>
            </w:r>
          </w:p>
          <w:p w14:paraId="5678F510" w14:textId="77777777" w:rsidR="002975F4" w:rsidRDefault="002975F4">
            <w:pPr>
              <w:rPr>
                <w:rFonts w:asciiTheme="majorHAnsi" w:hAnsiTheme="majorHAnsi" w:cstheme="majorHAnsi"/>
              </w:rPr>
            </w:pPr>
          </w:p>
        </w:tc>
        <w:tc>
          <w:tcPr>
            <w:tcW w:w="1812" w:type="dxa"/>
          </w:tcPr>
          <w:p w14:paraId="795E44FF" w14:textId="77777777" w:rsidR="002975F4" w:rsidRDefault="00000000">
            <w:pPr>
              <w:rPr>
                <w:rFonts w:asciiTheme="majorHAnsi" w:hAnsiTheme="majorHAnsi" w:cstheme="majorHAnsi"/>
              </w:rPr>
            </w:pPr>
            <w:r>
              <w:rPr>
                <w:rFonts w:asciiTheme="majorHAnsi" w:hAnsiTheme="majorHAnsi" w:cstheme="majorHAnsi"/>
              </w:rPr>
              <w:t xml:space="preserve">0.5 </w:t>
            </w:r>
            <w:proofErr w:type="spellStart"/>
            <w:r>
              <w:rPr>
                <w:rFonts w:asciiTheme="majorHAnsi" w:hAnsiTheme="majorHAnsi" w:cstheme="majorHAnsi"/>
              </w:rPr>
              <w:t>ugb</w:t>
            </w:r>
            <w:proofErr w:type="spellEnd"/>
            <w:r>
              <w:rPr>
                <w:rFonts w:asciiTheme="majorHAnsi" w:hAnsiTheme="majorHAnsi" w:cstheme="majorHAnsi"/>
              </w:rPr>
              <w:t xml:space="preserve"> /ha /an </w:t>
            </w:r>
          </w:p>
        </w:tc>
        <w:tc>
          <w:tcPr>
            <w:tcW w:w="1813" w:type="dxa"/>
          </w:tcPr>
          <w:p w14:paraId="3089D0D7" w14:textId="2A8652F8" w:rsidR="002975F4" w:rsidRDefault="00000000">
            <w:pPr>
              <w:rPr>
                <w:rFonts w:asciiTheme="majorHAnsi" w:hAnsiTheme="majorHAnsi" w:cstheme="majorHAnsi"/>
              </w:rPr>
            </w:pPr>
            <w:r>
              <w:rPr>
                <w:rFonts w:asciiTheme="majorHAnsi" w:hAnsiTheme="majorHAnsi" w:cstheme="majorHAnsi"/>
              </w:rPr>
              <w:t>Ovins ou vaches</w:t>
            </w:r>
            <w:r w:rsidR="00D33829">
              <w:rPr>
                <w:rFonts w:asciiTheme="majorHAnsi" w:hAnsiTheme="majorHAnsi" w:cstheme="majorHAnsi"/>
              </w:rPr>
              <w:t xml:space="preserve"> </w:t>
            </w:r>
            <w:r>
              <w:rPr>
                <w:rFonts w:asciiTheme="majorHAnsi" w:hAnsiTheme="majorHAnsi" w:cstheme="majorHAnsi"/>
              </w:rPr>
              <w:t>rustiques (</w:t>
            </w:r>
            <w:proofErr w:type="spellStart"/>
            <w:r>
              <w:rPr>
                <w:rFonts w:asciiTheme="majorHAnsi" w:hAnsiTheme="majorHAnsi" w:cstheme="majorHAnsi"/>
              </w:rPr>
              <w:t>dah</w:t>
            </w:r>
            <w:r w:rsidR="00D33829">
              <w:rPr>
                <w:rFonts w:asciiTheme="majorHAnsi" w:hAnsiTheme="majorHAnsi" w:cstheme="majorHAnsi"/>
              </w:rPr>
              <w:t>o</w:t>
            </w:r>
            <w:r>
              <w:rPr>
                <w:rFonts w:asciiTheme="majorHAnsi" w:hAnsiTheme="majorHAnsi" w:cstheme="majorHAnsi"/>
              </w:rPr>
              <w:t>mey</w:t>
            </w:r>
            <w:proofErr w:type="spellEnd"/>
            <w:r>
              <w:rPr>
                <w:rFonts w:asciiTheme="majorHAnsi" w:hAnsiTheme="majorHAnsi" w:cstheme="majorHAnsi"/>
              </w:rPr>
              <w:t xml:space="preserve">, highland, </w:t>
            </w:r>
            <w:proofErr w:type="spellStart"/>
            <w:r>
              <w:rPr>
                <w:rFonts w:asciiTheme="majorHAnsi" w:hAnsiTheme="majorHAnsi" w:cstheme="majorHAnsi"/>
              </w:rPr>
              <w:t>galloway</w:t>
            </w:r>
            <w:proofErr w:type="spellEnd"/>
            <w:r>
              <w:rPr>
                <w:rFonts w:asciiTheme="majorHAnsi" w:hAnsiTheme="majorHAnsi" w:cstheme="majorHAnsi"/>
              </w:rPr>
              <w:t xml:space="preserve">) </w:t>
            </w:r>
          </w:p>
        </w:tc>
        <w:tc>
          <w:tcPr>
            <w:tcW w:w="1813" w:type="dxa"/>
            <w:vMerge/>
          </w:tcPr>
          <w:p w14:paraId="321D98A8" w14:textId="77777777" w:rsidR="002975F4" w:rsidRDefault="002975F4"/>
        </w:tc>
      </w:tr>
      <w:tr w:rsidR="002975F4" w14:paraId="1B738252" w14:textId="77777777">
        <w:trPr>
          <w:trHeight w:val="269"/>
        </w:trPr>
        <w:tc>
          <w:tcPr>
            <w:tcW w:w="1812" w:type="dxa"/>
            <w:vMerge w:val="restart"/>
          </w:tcPr>
          <w:p w14:paraId="331B1371" w14:textId="5C0B3DD0" w:rsidR="002975F4" w:rsidRDefault="00D33829">
            <w:pPr>
              <w:rPr>
                <w:rFonts w:asciiTheme="majorHAnsi" w:hAnsiTheme="majorHAnsi" w:cstheme="majorHAnsi"/>
              </w:rPr>
            </w:pPr>
            <w:r>
              <w:rPr>
                <w:rFonts w:asciiTheme="majorHAnsi" w:hAnsiTheme="majorHAnsi" w:cstheme="majorHAnsi"/>
              </w:rPr>
              <w:t xml:space="preserve">Pâturage </w:t>
            </w:r>
          </w:p>
        </w:tc>
        <w:tc>
          <w:tcPr>
            <w:tcW w:w="1812" w:type="dxa"/>
            <w:vMerge w:val="restart"/>
          </w:tcPr>
          <w:p w14:paraId="30C59C2F" w14:textId="55AA7C3D" w:rsidR="002975F4" w:rsidRDefault="00000000">
            <w:pPr>
              <w:rPr>
                <w:rFonts w:asciiTheme="majorHAnsi" w:hAnsiTheme="majorHAnsi" w:cstheme="majorHAnsi"/>
              </w:rPr>
            </w:pPr>
            <w:r>
              <w:rPr>
                <w:rFonts w:asciiTheme="majorHAnsi" w:hAnsiTheme="majorHAnsi" w:cstheme="majorHAnsi"/>
              </w:rPr>
              <w:t xml:space="preserve">1 er aout au 31 </w:t>
            </w:r>
            <w:r w:rsidR="00D33829">
              <w:rPr>
                <w:rFonts w:asciiTheme="majorHAnsi" w:hAnsiTheme="majorHAnsi" w:cstheme="majorHAnsi"/>
              </w:rPr>
              <w:t>octobre</w:t>
            </w:r>
            <w:r>
              <w:rPr>
                <w:rFonts w:asciiTheme="majorHAnsi" w:hAnsiTheme="majorHAnsi" w:cstheme="majorHAnsi"/>
              </w:rPr>
              <w:t xml:space="preserve"> </w:t>
            </w:r>
          </w:p>
        </w:tc>
        <w:tc>
          <w:tcPr>
            <w:tcW w:w="1812" w:type="dxa"/>
            <w:vMerge w:val="restart"/>
          </w:tcPr>
          <w:p w14:paraId="28059184" w14:textId="43D70276" w:rsidR="002975F4" w:rsidRDefault="00000000">
            <w:pPr>
              <w:rPr>
                <w:rFonts w:asciiTheme="majorHAnsi" w:hAnsiTheme="majorHAnsi" w:cstheme="majorHAnsi"/>
              </w:rPr>
            </w:pPr>
            <w:r>
              <w:rPr>
                <w:rFonts w:asciiTheme="majorHAnsi" w:hAnsiTheme="majorHAnsi" w:cstheme="majorHAnsi"/>
              </w:rPr>
              <w:t xml:space="preserve">0.5 </w:t>
            </w:r>
            <w:proofErr w:type="spellStart"/>
            <w:r>
              <w:rPr>
                <w:rFonts w:asciiTheme="majorHAnsi" w:hAnsiTheme="majorHAnsi" w:cstheme="majorHAnsi"/>
              </w:rPr>
              <w:t>ugb</w:t>
            </w:r>
            <w:proofErr w:type="spellEnd"/>
            <w:r>
              <w:rPr>
                <w:rFonts w:asciiTheme="majorHAnsi" w:hAnsiTheme="majorHAnsi" w:cstheme="majorHAnsi"/>
              </w:rPr>
              <w:t xml:space="preserve">/ha/an </w:t>
            </w:r>
          </w:p>
        </w:tc>
        <w:tc>
          <w:tcPr>
            <w:tcW w:w="1813" w:type="dxa"/>
            <w:vMerge w:val="restart"/>
          </w:tcPr>
          <w:p w14:paraId="78AC31A4" w14:textId="7E29AF5C" w:rsidR="002975F4" w:rsidRDefault="00000000">
            <w:pPr>
              <w:rPr>
                <w:rFonts w:asciiTheme="majorHAnsi" w:hAnsiTheme="majorHAnsi" w:cstheme="majorHAnsi"/>
              </w:rPr>
            </w:pPr>
            <w:r>
              <w:rPr>
                <w:rFonts w:asciiTheme="majorHAnsi" w:hAnsiTheme="majorHAnsi" w:cstheme="majorHAnsi"/>
              </w:rPr>
              <w:t>Ovins ou vaches rustiques (</w:t>
            </w:r>
            <w:proofErr w:type="spellStart"/>
            <w:r>
              <w:rPr>
                <w:rFonts w:asciiTheme="majorHAnsi" w:hAnsiTheme="majorHAnsi" w:cstheme="majorHAnsi"/>
              </w:rPr>
              <w:t>dah</w:t>
            </w:r>
            <w:r w:rsidR="00D33829">
              <w:rPr>
                <w:rFonts w:asciiTheme="majorHAnsi" w:hAnsiTheme="majorHAnsi" w:cstheme="majorHAnsi"/>
              </w:rPr>
              <w:t>o</w:t>
            </w:r>
            <w:r>
              <w:rPr>
                <w:rFonts w:asciiTheme="majorHAnsi" w:hAnsiTheme="majorHAnsi" w:cstheme="majorHAnsi"/>
              </w:rPr>
              <w:t>mey</w:t>
            </w:r>
            <w:proofErr w:type="spellEnd"/>
            <w:r>
              <w:rPr>
                <w:rFonts w:asciiTheme="majorHAnsi" w:hAnsiTheme="majorHAnsi" w:cstheme="majorHAnsi"/>
              </w:rPr>
              <w:t xml:space="preserve">, highland, </w:t>
            </w:r>
            <w:proofErr w:type="spellStart"/>
            <w:r>
              <w:rPr>
                <w:rFonts w:asciiTheme="majorHAnsi" w:hAnsiTheme="majorHAnsi" w:cstheme="majorHAnsi"/>
              </w:rPr>
              <w:t>galloway</w:t>
            </w:r>
            <w:proofErr w:type="spellEnd"/>
            <w:r>
              <w:rPr>
                <w:rFonts w:asciiTheme="majorHAnsi" w:hAnsiTheme="majorHAnsi" w:cstheme="majorHAnsi"/>
              </w:rPr>
              <w:t xml:space="preserve">) </w:t>
            </w:r>
          </w:p>
          <w:p w14:paraId="00F965BB" w14:textId="77777777" w:rsidR="002975F4" w:rsidRDefault="002975F4">
            <w:pPr>
              <w:rPr>
                <w:rFonts w:asciiTheme="majorHAnsi" w:hAnsiTheme="majorHAnsi" w:cstheme="majorHAnsi"/>
              </w:rPr>
            </w:pPr>
          </w:p>
        </w:tc>
        <w:tc>
          <w:tcPr>
            <w:tcW w:w="1813" w:type="dxa"/>
            <w:vMerge w:val="restart"/>
          </w:tcPr>
          <w:p w14:paraId="7AC061DD" w14:textId="77777777" w:rsidR="002975F4" w:rsidRDefault="00000000">
            <w:r>
              <w:lastRenderedPageBreak/>
              <w:t>234 et 238 a</w:t>
            </w:r>
          </w:p>
          <w:p w14:paraId="41775E90" w14:textId="77777777" w:rsidR="002975F4" w:rsidRDefault="002975F4"/>
        </w:tc>
      </w:tr>
      <w:tr w:rsidR="002975F4" w14:paraId="3E015F13" w14:textId="77777777">
        <w:trPr>
          <w:trHeight w:val="269"/>
        </w:trPr>
        <w:tc>
          <w:tcPr>
            <w:tcW w:w="1812" w:type="dxa"/>
            <w:vMerge w:val="restart"/>
          </w:tcPr>
          <w:p w14:paraId="395B4C9F" w14:textId="77777777" w:rsidR="002975F4" w:rsidRDefault="00000000">
            <w:pPr>
              <w:rPr>
                <w:rFonts w:asciiTheme="majorHAnsi" w:hAnsiTheme="majorHAnsi" w:cstheme="majorHAnsi"/>
              </w:rPr>
            </w:pPr>
            <w:proofErr w:type="spellStart"/>
            <w:r>
              <w:rPr>
                <w:rFonts w:asciiTheme="majorHAnsi" w:hAnsiTheme="majorHAnsi" w:cstheme="majorHAnsi"/>
              </w:rPr>
              <w:t>Paturage</w:t>
            </w:r>
            <w:proofErr w:type="spellEnd"/>
            <w:r>
              <w:rPr>
                <w:rFonts w:asciiTheme="majorHAnsi" w:hAnsiTheme="majorHAnsi" w:cstheme="majorHAnsi"/>
              </w:rPr>
              <w:t xml:space="preserve"> </w:t>
            </w:r>
          </w:p>
        </w:tc>
        <w:tc>
          <w:tcPr>
            <w:tcW w:w="1812" w:type="dxa"/>
            <w:vMerge w:val="restart"/>
          </w:tcPr>
          <w:p w14:paraId="7E973883" w14:textId="77777777" w:rsidR="002975F4" w:rsidRDefault="00000000">
            <w:pPr>
              <w:rPr>
                <w:rFonts w:asciiTheme="majorHAnsi" w:hAnsiTheme="majorHAnsi" w:cstheme="majorHAnsi"/>
              </w:rPr>
            </w:pPr>
            <w:r>
              <w:rPr>
                <w:rFonts w:asciiTheme="majorHAnsi" w:hAnsiTheme="majorHAnsi" w:cstheme="majorHAnsi"/>
              </w:rPr>
              <w:t xml:space="preserve">1er juillet au 31 octobre </w:t>
            </w:r>
          </w:p>
        </w:tc>
        <w:tc>
          <w:tcPr>
            <w:tcW w:w="1812" w:type="dxa"/>
            <w:vMerge w:val="restart"/>
          </w:tcPr>
          <w:p w14:paraId="0A60081B" w14:textId="77777777" w:rsidR="002975F4" w:rsidRDefault="00000000">
            <w:pPr>
              <w:rPr>
                <w:rFonts w:asciiTheme="majorHAnsi" w:hAnsiTheme="majorHAnsi" w:cstheme="majorHAnsi"/>
              </w:rPr>
            </w:pPr>
            <w:r>
              <w:rPr>
                <w:rFonts w:asciiTheme="majorHAnsi" w:hAnsiTheme="majorHAnsi" w:cstheme="majorHAnsi"/>
              </w:rPr>
              <w:t xml:space="preserve">0.5 </w:t>
            </w:r>
            <w:proofErr w:type="spellStart"/>
            <w:r>
              <w:rPr>
                <w:rFonts w:asciiTheme="majorHAnsi" w:hAnsiTheme="majorHAnsi" w:cstheme="majorHAnsi"/>
              </w:rPr>
              <w:t>ugb</w:t>
            </w:r>
            <w:proofErr w:type="spellEnd"/>
            <w:r>
              <w:rPr>
                <w:rFonts w:asciiTheme="majorHAnsi" w:hAnsiTheme="majorHAnsi" w:cstheme="majorHAnsi"/>
              </w:rPr>
              <w:t xml:space="preserve">/ha /an </w:t>
            </w:r>
          </w:p>
        </w:tc>
        <w:tc>
          <w:tcPr>
            <w:tcW w:w="1813" w:type="dxa"/>
            <w:vMerge w:val="restart"/>
          </w:tcPr>
          <w:p w14:paraId="2123B9DE" w14:textId="031E3F6F" w:rsidR="002975F4" w:rsidRDefault="003F35A0">
            <w:pPr>
              <w:rPr>
                <w:rFonts w:asciiTheme="majorHAnsi" w:hAnsiTheme="majorHAnsi" w:cstheme="majorHAnsi"/>
              </w:rPr>
            </w:pPr>
            <w:r>
              <w:rPr>
                <w:rFonts w:asciiTheme="majorHAnsi" w:hAnsiTheme="majorHAnsi" w:cstheme="majorHAnsi"/>
              </w:rPr>
              <w:t>vaches rustiques (</w:t>
            </w:r>
            <w:proofErr w:type="spellStart"/>
            <w:r>
              <w:rPr>
                <w:rFonts w:asciiTheme="majorHAnsi" w:hAnsiTheme="majorHAnsi" w:cstheme="majorHAnsi"/>
              </w:rPr>
              <w:t>dahomey</w:t>
            </w:r>
            <w:proofErr w:type="spellEnd"/>
            <w:r>
              <w:rPr>
                <w:rFonts w:asciiTheme="majorHAnsi" w:hAnsiTheme="majorHAnsi" w:cstheme="majorHAnsi"/>
              </w:rPr>
              <w:t xml:space="preserve">, highland, </w:t>
            </w:r>
            <w:proofErr w:type="spellStart"/>
            <w:r>
              <w:rPr>
                <w:rFonts w:asciiTheme="majorHAnsi" w:hAnsiTheme="majorHAnsi" w:cstheme="majorHAnsi"/>
              </w:rPr>
              <w:t>galloway</w:t>
            </w:r>
            <w:proofErr w:type="spellEnd"/>
            <w:r>
              <w:rPr>
                <w:rFonts w:asciiTheme="majorHAnsi" w:hAnsiTheme="majorHAnsi" w:cstheme="majorHAnsi"/>
              </w:rPr>
              <w:t>)</w:t>
            </w:r>
          </w:p>
        </w:tc>
        <w:tc>
          <w:tcPr>
            <w:tcW w:w="1813" w:type="dxa"/>
            <w:vMerge w:val="restart"/>
          </w:tcPr>
          <w:p w14:paraId="729E4D1E" w14:textId="258DE322" w:rsidR="002975F4" w:rsidRDefault="00000000">
            <w:r>
              <w:t>41</w:t>
            </w:r>
            <w:r w:rsidR="003F35A0">
              <w:t xml:space="preserve">2, </w:t>
            </w:r>
            <w:r>
              <w:t>413</w:t>
            </w:r>
            <w:r w:rsidR="003F35A0">
              <w:t xml:space="preserve"> et </w:t>
            </w:r>
            <w:r>
              <w:t>414</w:t>
            </w:r>
          </w:p>
        </w:tc>
      </w:tr>
    </w:tbl>
    <w:p w14:paraId="55A93A63" w14:textId="77777777" w:rsidR="002975F4" w:rsidRDefault="002975F4">
      <w:pPr>
        <w:jc w:val="both"/>
        <w:rPr>
          <w:rFonts w:asciiTheme="majorHAnsi" w:hAnsiTheme="majorHAnsi" w:cstheme="majorHAnsi"/>
        </w:rPr>
      </w:pPr>
    </w:p>
    <w:p w14:paraId="5831C3AD" w14:textId="77777777" w:rsidR="002975F4" w:rsidRDefault="00000000">
      <w:pPr>
        <w:jc w:val="both"/>
        <w:rPr>
          <w:rFonts w:asciiTheme="majorHAnsi" w:hAnsiTheme="majorHAnsi" w:cstheme="majorHAnsi"/>
          <w:highlight w:val="white"/>
        </w:rPr>
      </w:pPr>
      <w:r>
        <w:rPr>
          <w:rFonts w:asciiTheme="majorHAnsi" w:hAnsiTheme="majorHAnsi" w:cstheme="majorHAnsi"/>
        </w:rPr>
        <w:t>P</w:t>
      </w:r>
      <w:r>
        <w:rPr>
          <w:rFonts w:asciiTheme="majorHAnsi" w:hAnsiTheme="majorHAnsi" w:cstheme="majorHAnsi"/>
          <w:highlight w:val="white"/>
        </w:rPr>
        <w:t>our l’année d’entrée en vigueur de la convention, les modalités de fauchage/pâturage s’établissent comme prévu à l’annexe C qui fait partie intégrante du présent commodat.</w:t>
      </w:r>
    </w:p>
    <w:p w14:paraId="082CAA47" w14:textId="77777777" w:rsidR="002975F4" w:rsidRDefault="00000000">
      <w:pPr>
        <w:pBdr>
          <w:top w:val="none" w:sz="4" w:space="0" w:color="000000"/>
          <w:left w:val="none" w:sz="4" w:space="0" w:color="000000"/>
          <w:bottom w:val="none" w:sz="4" w:space="0" w:color="000000"/>
          <w:right w:val="none" w:sz="4" w:space="0" w:color="000000"/>
        </w:pBdr>
        <w:jc w:val="both"/>
        <w:rPr>
          <w:rFonts w:asciiTheme="majorHAnsi" w:hAnsiTheme="majorHAnsi" w:cstheme="majorHAnsi"/>
          <w:highlight w:val="white"/>
          <w14:ligatures w14:val="none"/>
        </w:rPr>
      </w:pPr>
      <w:r>
        <w:rPr>
          <w:rFonts w:asciiTheme="majorHAnsi" w:hAnsiTheme="majorHAnsi" w:cstheme="majorHAnsi"/>
          <w:highlight w:val="white"/>
        </w:rPr>
        <w:t xml:space="preserve">Il est attendu que les modalités de fauchage évoluent parallèlement à l’amélioration escomptée de l’état de conservation des prairies ou </w:t>
      </w:r>
      <w:proofErr w:type="gramStart"/>
      <w:r>
        <w:rPr>
          <w:rFonts w:asciiTheme="majorHAnsi" w:hAnsiTheme="majorHAnsi" w:cstheme="majorHAnsi"/>
          <w:highlight w:val="white"/>
        </w:rPr>
        <w:t>suite à une</w:t>
      </w:r>
      <w:proofErr w:type="gramEnd"/>
      <w:r>
        <w:rPr>
          <w:rFonts w:asciiTheme="majorHAnsi" w:hAnsiTheme="majorHAnsi" w:cstheme="majorHAnsi"/>
          <w:highlight w:val="white"/>
        </w:rPr>
        <w:t xml:space="preserve"> possible action de restauration par apport de graines ou épandage de foin. </w:t>
      </w:r>
    </w:p>
    <w:p w14:paraId="348D24E2" w14:textId="77777777" w:rsidR="002975F4" w:rsidRDefault="00000000">
      <w:pPr>
        <w:jc w:val="both"/>
        <w:rPr>
          <w:rFonts w:asciiTheme="majorHAnsi" w:hAnsiTheme="majorHAnsi" w:cstheme="majorHAnsi"/>
        </w:rPr>
      </w:pPr>
      <w:r>
        <w:rPr>
          <w:rFonts w:asciiTheme="majorHAnsi" w:hAnsiTheme="majorHAnsi" w:cstheme="majorHAnsi"/>
        </w:rPr>
        <w:t>§3. En dehors des cas visés au paragraphe 2, la circulation de tracteurs ou d’engins similaires sur les terrains mis à disposition est possible uniquement par temps secs et est soumise à l’autorisation écrite du prêteur</w:t>
      </w:r>
    </w:p>
    <w:p w14:paraId="25CCC9B2"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8 – Interdictions</w:t>
      </w:r>
    </w:p>
    <w:p w14:paraId="3C62721A" w14:textId="77777777" w:rsidR="002975F4" w:rsidRDefault="00000000">
      <w:pPr>
        <w:jc w:val="both"/>
        <w:rPr>
          <w:rFonts w:asciiTheme="majorHAnsi" w:hAnsiTheme="majorHAnsi" w:cstheme="majorHAnsi"/>
        </w:rPr>
      </w:pPr>
      <w:r>
        <w:rPr>
          <w:rFonts w:asciiTheme="majorHAnsi" w:hAnsiTheme="majorHAnsi" w:cstheme="majorHAnsi"/>
        </w:rPr>
        <w:t>En dehors des cas prévus au paragraphe 2 de l’article 7, l’emprunteur s’abstiendra, sauf accord écrit du prêteur, de réaliser :</w:t>
      </w:r>
    </w:p>
    <w:p w14:paraId="27C03161"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 xml:space="preserve">Tout remblai et introduction de déchets, de produits, </w:t>
      </w:r>
      <w:bookmarkStart w:id="2" w:name="_Hlk162527425"/>
      <w:r>
        <w:rPr>
          <w:rFonts w:asciiTheme="majorHAnsi" w:hAnsiTheme="majorHAnsi" w:cstheme="majorHAnsi"/>
        </w:rPr>
        <w:t>d’animaux ou de plantes</w:t>
      </w:r>
      <w:bookmarkEnd w:id="2"/>
      <w:r>
        <w:rPr>
          <w:rFonts w:asciiTheme="majorHAnsi" w:hAnsiTheme="majorHAnsi" w:cstheme="majorHAnsi"/>
        </w:rPr>
        <w:t xml:space="preserve"> exotiques et de poissons ;</w:t>
      </w:r>
    </w:p>
    <w:p w14:paraId="1333193A"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travail du sol pour les prairies (labour, fraisage... ) ;</w:t>
      </w:r>
    </w:p>
    <w:p w14:paraId="2A5B8862"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épandage (amendements, engrais, pesticides, gadoues, fumier, purin, lisier... ) ;</w:t>
      </w:r>
    </w:p>
    <w:p w14:paraId="148BE7ED"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arrachage ou destruction de haie ou de partie boisée ;</w:t>
      </w:r>
    </w:p>
    <w:p w14:paraId="564D3E25"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brûlage ;</w:t>
      </w:r>
    </w:p>
    <w:p w14:paraId="6C56037B"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Toute pose d’appâts empoisonnés pour lutter contre toute espèce animale quelle qu’elle soit ;</w:t>
      </w:r>
    </w:p>
    <w:p w14:paraId="3AD0710E"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Toute création de fossés d’écoulement et drainage souterrain ;</w:t>
      </w:r>
    </w:p>
    <w:p w14:paraId="698E0B29"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 xml:space="preserve">Tout </w:t>
      </w:r>
      <w:proofErr w:type="spellStart"/>
      <w:r>
        <w:rPr>
          <w:rFonts w:asciiTheme="majorHAnsi" w:hAnsiTheme="majorHAnsi" w:cstheme="majorHAnsi"/>
        </w:rPr>
        <w:t>sursemis</w:t>
      </w:r>
      <w:proofErr w:type="spellEnd"/>
      <w:r>
        <w:rPr>
          <w:rFonts w:asciiTheme="majorHAnsi" w:hAnsiTheme="majorHAnsi" w:cstheme="majorHAnsi"/>
        </w:rPr>
        <w:t> ;</w:t>
      </w:r>
    </w:p>
    <w:p w14:paraId="094F2560"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Toute construction ou tout ouvrage ;</w:t>
      </w:r>
    </w:p>
    <w:p w14:paraId="3C59828E"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Toute introduction d’animaux ou de plantes indigènes ;</w:t>
      </w:r>
    </w:p>
    <w:p w14:paraId="50F261A5" w14:textId="77777777" w:rsidR="002975F4" w:rsidRDefault="00000000">
      <w:pPr>
        <w:pStyle w:val="Paragraphedeliste"/>
        <w:numPr>
          <w:ilvl w:val="0"/>
          <w:numId w:val="14"/>
        </w:numPr>
        <w:jc w:val="both"/>
        <w:rPr>
          <w:rFonts w:asciiTheme="majorHAnsi" w:hAnsiTheme="majorHAnsi" w:cstheme="majorHAnsi"/>
          <w14:ligatures w14:val="none"/>
        </w:rPr>
      </w:pPr>
      <w:r>
        <w:rPr>
          <w:rFonts w:asciiTheme="majorHAnsi" w:hAnsiTheme="majorHAnsi" w:cstheme="majorHAnsi"/>
        </w:rPr>
        <w:t xml:space="preserve">Toute fauche des refus, tout </w:t>
      </w:r>
      <w:proofErr w:type="spellStart"/>
      <w:r>
        <w:rPr>
          <w:rFonts w:asciiTheme="majorHAnsi" w:hAnsiTheme="majorHAnsi" w:cstheme="majorHAnsi"/>
        </w:rPr>
        <w:t>débousage</w:t>
      </w:r>
      <w:proofErr w:type="spellEnd"/>
      <w:r>
        <w:rPr>
          <w:rFonts w:asciiTheme="majorHAnsi" w:hAnsiTheme="majorHAnsi" w:cstheme="majorHAnsi"/>
        </w:rPr>
        <w:t xml:space="preserve">, tout étaupinage non-conforme aux prescrits de l’article 7, §2 ; </w:t>
      </w:r>
    </w:p>
    <w:p w14:paraId="7D98CB88" w14:textId="77777777" w:rsidR="002975F4" w:rsidRDefault="00000000">
      <w:pPr>
        <w:pStyle w:val="Paragraphedeliste"/>
        <w:numPr>
          <w:ilvl w:val="0"/>
          <w:numId w:val="14"/>
        </w:numPr>
        <w:jc w:val="both"/>
        <w:rPr>
          <w:rFonts w:asciiTheme="majorHAnsi" w:hAnsiTheme="majorHAnsi" w:cstheme="majorHAnsi"/>
          <w:highlight w:val="white"/>
        </w:rPr>
      </w:pPr>
      <w:r>
        <w:rPr>
          <w:rFonts w:asciiTheme="majorHAnsi" w:hAnsiTheme="majorHAnsi" w:cstheme="majorHAnsi"/>
          <w:highlight w:val="white"/>
        </w:rPr>
        <w:t>Tout nourrissage artificiel du bétail au moyen de nourriture extérieure ;</w:t>
      </w:r>
    </w:p>
    <w:p w14:paraId="69C52361"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travail ou entretien de nuit ;</w:t>
      </w:r>
    </w:p>
    <w:p w14:paraId="4AEB2D8F"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abandon d’immondices, de sacs plastiques, ficelles nylon...;</w:t>
      </w:r>
    </w:p>
    <w:p w14:paraId="3B3FA150"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placement de clôtures fixes ; l’utilisation de clôtures mobiles reste, elle, autorisée ;</w:t>
      </w:r>
    </w:p>
    <w:p w14:paraId="131C5627"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dommage aux clôtures fixes existantes (l’exploitant signalera au besoin tout problème existant).</w:t>
      </w:r>
    </w:p>
    <w:p w14:paraId="4121D2B6"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Toute intervention dans les  « zones refuges » désignées ;</w:t>
      </w:r>
    </w:p>
    <w:p w14:paraId="499D60F7" w14:textId="77777777" w:rsidR="002975F4" w:rsidRDefault="00000000">
      <w:pPr>
        <w:pStyle w:val="Paragraphedeliste"/>
        <w:numPr>
          <w:ilvl w:val="0"/>
          <w:numId w:val="14"/>
        </w:numPr>
        <w:jc w:val="both"/>
        <w:rPr>
          <w:rFonts w:asciiTheme="majorHAnsi" w:hAnsiTheme="majorHAnsi" w:cstheme="majorHAnsi"/>
        </w:rPr>
      </w:pPr>
      <w:r>
        <w:rPr>
          <w:rFonts w:asciiTheme="majorHAnsi" w:hAnsiTheme="majorHAnsi" w:cstheme="majorHAnsi"/>
        </w:rPr>
        <w:t>Tout stockage (fumier, silo taupinière, balle sous plastique, ballot de foin ou de paille...) ;</w:t>
      </w:r>
    </w:p>
    <w:p w14:paraId="359DBD32" w14:textId="77777777" w:rsidR="002975F4" w:rsidRDefault="00000000">
      <w:pPr>
        <w:pStyle w:val="Paragraphedeliste"/>
        <w:numPr>
          <w:ilvl w:val="0"/>
          <w:numId w:val="14"/>
        </w:numPr>
        <w:jc w:val="both"/>
        <w:rPr>
          <w:rFonts w:asciiTheme="majorHAnsi" w:hAnsiTheme="majorHAnsi" w:cstheme="majorHAnsi"/>
          <w:highlight w:val="white"/>
        </w:rPr>
      </w:pPr>
      <w:r>
        <w:rPr>
          <w:rFonts w:asciiTheme="majorHAnsi" w:hAnsiTheme="majorHAnsi" w:cstheme="majorHAnsi"/>
          <w:highlight w:val="white"/>
        </w:rPr>
        <w:t>Tout traitement vermifuge des animaux pendant la durée de pâturage et moins d’un mois avant l’entrée des animaux sur la parcelle ;</w:t>
      </w:r>
    </w:p>
    <w:p w14:paraId="7F6FFC5B" w14:textId="77777777" w:rsidR="002975F4" w:rsidRDefault="00000000">
      <w:pPr>
        <w:pStyle w:val="Paragraphedeliste"/>
        <w:numPr>
          <w:ilvl w:val="0"/>
          <w:numId w:val="14"/>
        </w:numPr>
        <w:jc w:val="both"/>
        <w:rPr>
          <w:rFonts w:asciiTheme="majorHAnsi" w:hAnsiTheme="majorHAnsi" w:cstheme="majorHAnsi"/>
          <w:highlight w:val="white"/>
        </w:rPr>
      </w:pPr>
      <w:r>
        <w:rPr>
          <w:rFonts w:asciiTheme="majorHAnsi" w:hAnsiTheme="majorHAnsi" w:cstheme="majorHAnsi"/>
          <w:highlight w:val="white"/>
        </w:rPr>
        <w:t>Toute fauche ou pâturage à moins de 4 mètres des abords d’une mare.</w:t>
      </w:r>
    </w:p>
    <w:p w14:paraId="06311D0F"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9 – Travaux d’aménagement de structure et restauration</w:t>
      </w:r>
    </w:p>
    <w:p w14:paraId="25346E71" w14:textId="77777777" w:rsidR="002975F4" w:rsidRDefault="00000000">
      <w:pPr>
        <w:jc w:val="both"/>
        <w:rPr>
          <w:rFonts w:asciiTheme="majorHAnsi" w:hAnsiTheme="majorHAnsi" w:cstheme="majorHAnsi"/>
        </w:rPr>
      </w:pPr>
      <w:r>
        <w:rPr>
          <w:rFonts w:asciiTheme="majorHAnsi" w:hAnsiTheme="majorHAnsi" w:cstheme="majorHAnsi"/>
        </w:rPr>
        <w:t>Le prêteur a le droit de réaliser de nouveaux aménagements de structure (exemples : placement de clôtures, plantation de bosquets, plantation de haies, création de mare) conformes aux objectifs visés</w:t>
      </w:r>
      <w:r>
        <w:rPr>
          <w:rFonts w:asciiTheme="majorHAnsi" w:hAnsiTheme="majorHAnsi" w:cstheme="majorHAnsi"/>
          <w:highlight w:val="white"/>
        </w:rPr>
        <w:t xml:space="preserve"> </w:t>
      </w:r>
      <w:r>
        <w:rPr>
          <w:rFonts w:asciiTheme="majorHAnsi" w:hAnsiTheme="majorHAnsi" w:cstheme="majorHAnsi"/>
          <w:highlight w:val="white"/>
        </w:rPr>
        <w:lastRenderedPageBreak/>
        <w:t>dans l’annexe B, à co</w:t>
      </w:r>
      <w:r>
        <w:rPr>
          <w:rFonts w:asciiTheme="majorHAnsi" w:hAnsiTheme="majorHAnsi" w:cstheme="majorHAnsi"/>
        </w:rPr>
        <w:t>ncurrence de 10 % maximum des terrains mis à disposition et moyennant une notification par envoi recommandé à l’emprunteur ou un écrit contresigné par l’emprunteur avant le 31 décembre précédant la nouvelle saison d’exploitation concernée.  </w:t>
      </w:r>
    </w:p>
    <w:p w14:paraId="677D9C0C" w14:textId="77777777" w:rsidR="002975F4" w:rsidRDefault="00000000">
      <w:pPr>
        <w:jc w:val="both"/>
        <w:rPr>
          <w:rFonts w:asciiTheme="majorHAnsi" w:hAnsiTheme="majorHAnsi" w:cstheme="majorHAnsi"/>
        </w:rPr>
      </w:pPr>
      <w:r>
        <w:rPr>
          <w:rFonts w:asciiTheme="majorHAnsi" w:hAnsiTheme="majorHAnsi" w:cstheme="majorHAnsi"/>
          <w:highlight w:val="white"/>
        </w:rPr>
        <w:t>Le prêteur a le droit de réaliser des travaux de restauration afin d’atteindre les objectifs visés dans l’annexe B moy</w:t>
      </w:r>
      <w:r>
        <w:rPr>
          <w:rFonts w:asciiTheme="majorHAnsi" w:hAnsiTheme="majorHAnsi" w:cstheme="majorHAnsi"/>
        </w:rPr>
        <w:t xml:space="preserve">ennant une notification par envoi recommandé à l’emprunteur </w:t>
      </w:r>
      <w:bookmarkStart w:id="3" w:name="_Hlk162532334"/>
      <w:r>
        <w:rPr>
          <w:rFonts w:asciiTheme="majorHAnsi" w:hAnsiTheme="majorHAnsi" w:cstheme="majorHAnsi"/>
        </w:rPr>
        <w:t xml:space="preserve">ou un écrit contresigné par l’emprunteur </w:t>
      </w:r>
      <w:bookmarkEnd w:id="3"/>
      <w:r>
        <w:rPr>
          <w:rFonts w:asciiTheme="majorHAnsi" w:hAnsiTheme="majorHAnsi" w:cstheme="majorHAnsi"/>
        </w:rPr>
        <w:t xml:space="preserve">au moins 6 mois avant lesdits travaux. </w:t>
      </w:r>
    </w:p>
    <w:p w14:paraId="58D85EA3" w14:textId="77777777" w:rsidR="002975F4" w:rsidRDefault="00000000">
      <w:pPr>
        <w:jc w:val="both"/>
        <w:rPr>
          <w:rFonts w:asciiTheme="majorHAnsi" w:hAnsiTheme="majorHAnsi" w:cstheme="majorHAnsi"/>
        </w:rPr>
      </w:pPr>
      <w:r>
        <w:rPr>
          <w:rFonts w:asciiTheme="majorHAnsi" w:hAnsiTheme="majorHAnsi" w:cstheme="majorHAnsi"/>
        </w:rPr>
        <w:t>Ces travaux pourront entrainer une suspension du présent commodat pendant la durée des travaux de restauration.</w:t>
      </w:r>
    </w:p>
    <w:p w14:paraId="7FB36ABA"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10 – Congé donné par l’emprunteur</w:t>
      </w:r>
    </w:p>
    <w:p w14:paraId="211267C5" w14:textId="77777777" w:rsidR="002975F4" w:rsidRDefault="00000000">
      <w:pPr>
        <w:jc w:val="both"/>
        <w:rPr>
          <w:rFonts w:asciiTheme="majorHAnsi" w:hAnsiTheme="majorHAnsi" w:cstheme="majorHAnsi"/>
        </w:rPr>
      </w:pPr>
      <w:r>
        <w:rPr>
          <w:rFonts w:asciiTheme="majorHAnsi" w:hAnsiTheme="majorHAnsi" w:cstheme="majorHAnsi"/>
        </w:rPr>
        <w:t>L’emprunteur peut mettre fin au commodat moyennant un congé assorti d’un délai de préavis d'un an au moins adressé par envoi recommandé.</w:t>
      </w:r>
    </w:p>
    <w:p w14:paraId="5A23B054"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11 – Congé donné par le prêteur justifié par une non atteinte des objectifs de conservation ou par une modification du plan de gestion</w:t>
      </w:r>
    </w:p>
    <w:p w14:paraId="26307676" w14:textId="77777777" w:rsidR="002975F4" w:rsidRDefault="00000000">
      <w:pPr>
        <w:jc w:val="both"/>
        <w:rPr>
          <w:rFonts w:asciiTheme="majorHAnsi" w:hAnsiTheme="majorHAnsi" w:cstheme="majorHAnsi"/>
        </w:rPr>
      </w:pPr>
      <w:bookmarkStart w:id="4" w:name="_Hlk158642771"/>
      <w:r>
        <w:rPr>
          <w:rFonts w:asciiTheme="majorHAnsi" w:hAnsiTheme="majorHAnsi" w:cstheme="majorHAnsi"/>
        </w:rPr>
        <w:t>Le prêteur peut mettre fin à tout ou partie du commodat</w:t>
      </w:r>
      <w:bookmarkStart w:id="5" w:name="_Hlk158643492"/>
      <w:r>
        <w:rPr>
          <w:rFonts w:asciiTheme="majorHAnsi" w:hAnsiTheme="majorHAnsi" w:cstheme="majorHAnsi"/>
        </w:rPr>
        <w:t xml:space="preserve"> sur les terrains </w:t>
      </w:r>
      <w:bookmarkEnd w:id="4"/>
      <w:r>
        <w:rPr>
          <w:rFonts w:asciiTheme="majorHAnsi" w:hAnsiTheme="majorHAnsi" w:cstheme="majorHAnsi"/>
        </w:rPr>
        <w:t>dont les objectifs de conservation visé</w:t>
      </w:r>
      <w:r>
        <w:rPr>
          <w:rFonts w:asciiTheme="majorHAnsi" w:hAnsiTheme="majorHAnsi" w:cstheme="majorHAnsi"/>
          <w:highlight w:val="white"/>
        </w:rPr>
        <w:t xml:space="preserve">s à l’annexe B n’ont pas été atteints ou sur les terrains concernés par une modification du plan de gestion visé à l’annexe B. </w:t>
      </w:r>
      <w:bookmarkEnd w:id="5"/>
    </w:p>
    <w:p w14:paraId="2C3D4E95" w14:textId="77777777" w:rsidR="002975F4" w:rsidRDefault="00000000">
      <w:pPr>
        <w:jc w:val="both"/>
        <w:rPr>
          <w:rFonts w:asciiTheme="majorHAnsi" w:hAnsiTheme="majorHAnsi" w:cstheme="majorHAnsi"/>
        </w:rPr>
      </w:pPr>
      <w:r>
        <w:rPr>
          <w:rFonts w:asciiTheme="majorHAnsi" w:hAnsiTheme="majorHAnsi" w:cstheme="majorHAnsi"/>
        </w:rPr>
        <w:t>Ce congé est assorti d’un délai de préavis d’un an au moins adressé par recommandé.</w:t>
      </w:r>
    </w:p>
    <w:p w14:paraId="46FC6912" w14:textId="77777777" w:rsidR="002975F4" w:rsidRDefault="00000000">
      <w:pPr>
        <w:jc w:val="both"/>
        <w:rPr>
          <w:rFonts w:asciiTheme="majorHAnsi" w:hAnsiTheme="majorHAnsi" w:cstheme="majorHAnsi"/>
        </w:rPr>
      </w:pPr>
      <w:r>
        <w:rPr>
          <w:rFonts w:asciiTheme="majorHAnsi" w:hAnsiTheme="majorHAnsi" w:cstheme="majorHAnsi"/>
        </w:rPr>
        <w:t>Ce congé ne peut être adressé :</w:t>
      </w:r>
    </w:p>
    <w:p w14:paraId="5C57A131" w14:textId="77777777" w:rsidR="002975F4" w:rsidRDefault="00000000">
      <w:pPr>
        <w:pStyle w:val="Paragraphedeliste"/>
        <w:numPr>
          <w:ilvl w:val="0"/>
          <w:numId w:val="12"/>
        </w:numPr>
        <w:jc w:val="both"/>
        <w:rPr>
          <w:rFonts w:asciiTheme="majorHAnsi" w:hAnsiTheme="majorHAnsi" w:cstheme="majorHAnsi"/>
        </w:rPr>
      </w:pPr>
      <w:r>
        <w:rPr>
          <w:rFonts w:asciiTheme="majorHAnsi" w:hAnsiTheme="majorHAnsi" w:cstheme="majorHAnsi"/>
        </w:rPr>
        <w:t>Qu’après avoir proposé à l’emprunteur une modification de l’article 7 de nature à remplir lesdits objectifs de conservation ;</w:t>
      </w:r>
    </w:p>
    <w:p w14:paraId="28CFC3D9" w14:textId="77777777" w:rsidR="002975F4" w:rsidRDefault="00000000">
      <w:pPr>
        <w:jc w:val="both"/>
        <w:rPr>
          <w:rFonts w:asciiTheme="majorHAnsi" w:hAnsiTheme="majorHAnsi" w:cstheme="majorHAnsi"/>
          <w:b/>
          <w:bCs/>
        </w:rPr>
      </w:pPr>
      <w:r>
        <w:rPr>
          <w:rFonts w:asciiTheme="majorHAnsi" w:hAnsiTheme="majorHAnsi" w:cstheme="majorHAnsi"/>
          <w:b/>
          <w:bCs/>
        </w:rPr>
        <w:t>Et</w:t>
      </w:r>
    </w:p>
    <w:p w14:paraId="459916A7" w14:textId="77777777" w:rsidR="002975F4" w:rsidRDefault="00000000">
      <w:pPr>
        <w:pStyle w:val="Paragraphedeliste"/>
        <w:numPr>
          <w:ilvl w:val="0"/>
          <w:numId w:val="12"/>
        </w:numPr>
        <w:jc w:val="both"/>
        <w:rPr>
          <w:rFonts w:asciiTheme="majorHAnsi" w:hAnsiTheme="majorHAnsi" w:cstheme="majorHAnsi"/>
        </w:rPr>
      </w:pPr>
      <w:r>
        <w:rPr>
          <w:rFonts w:asciiTheme="majorHAnsi" w:hAnsiTheme="majorHAnsi" w:cstheme="majorHAnsi"/>
        </w:rPr>
        <w:t>Avant l’expiration de la cinquième année du commodat ;</w:t>
      </w:r>
    </w:p>
    <w:p w14:paraId="1D06CEB3" w14:textId="77777777" w:rsidR="002975F4" w:rsidRDefault="00000000">
      <w:pPr>
        <w:jc w:val="both"/>
        <w:rPr>
          <w:rFonts w:asciiTheme="majorHAnsi" w:hAnsiTheme="majorHAnsi" w:cstheme="majorHAnsi"/>
        </w:rPr>
      </w:pPr>
      <w:r>
        <w:rPr>
          <w:rFonts w:asciiTheme="majorHAnsi" w:hAnsiTheme="majorHAnsi" w:cstheme="majorHAnsi"/>
          <w:b/>
          <w:bCs/>
        </w:rPr>
        <w:t>Et</w:t>
      </w:r>
    </w:p>
    <w:p w14:paraId="29346E30" w14:textId="77777777" w:rsidR="002975F4" w:rsidRDefault="00000000">
      <w:pPr>
        <w:pStyle w:val="Paragraphedeliste"/>
        <w:numPr>
          <w:ilvl w:val="0"/>
          <w:numId w:val="12"/>
        </w:numPr>
        <w:jc w:val="both"/>
        <w:rPr>
          <w:rFonts w:asciiTheme="majorHAnsi" w:hAnsiTheme="majorHAnsi" w:cstheme="majorHAnsi"/>
        </w:rPr>
      </w:pPr>
      <w:r>
        <w:rPr>
          <w:rFonts w:asciiTheme="majorHAnsi" w:hAnsiTheme="majorHAnsi" w:cstheme="majorHAnsi"/>
        </w:rPr>
        <w:t>Avant l’expiration de la cinquième année qui suit la dernière modification de l’article 7.</w:t>
      </w:r>
    </w:p>
    <w:p w14:paraId="5B73F403" w14:textId="77777777" w:rsidR="002975F4" w:rsidRDefault="00000000">
      <w:pPr>
        <w:jc w:val="both"/>
        <w:rPr>
          <w:rFonts w:asciiTheme="majorHAnsi" w:hAnsiTheme="majorHAnsi" w:cstheme="majorHAnsi"/>
        </w:rPr>
      </w:pPr>
      <w:r>
        <w:rPr>
          <w:rFonts w:asciiTheme="majorHAnsi" w:hAnsiTheme="majorHAnsi" w:cstheme="majorHAnsi"/>
          <w:b/>
          <w:bCs/>
        </w:rPr>
        <w:t>Et</w:t>
      </w:r>
    </w:p>
    <w:p w14:paraId="0A65095C" w14:textId="77777777" w:rsidR="002975F4" w:rsidRDefault="00000000">
      <w:pPr>
        <w:pStyle w:val="Paragraphedeliste"/>
        <w:numPr>
          <w:ilvl w:val="0"/>
          <w:numId w:val="12"/>
        </w:numPr>
        <w:jc w:val="both"/>
        <w:rPr>
          <w:rFonts w:asciiTheme="majorHAnsi" w:hAnsiTheme="majorHAnsi" w:cstheme="majorHAnsi"/>
        </w:rPr>
      </w:pPr>
      <w:r>
        <w:rPr>
          <w:rFonts w:asciiTheme="majorHAnsi" w:hAnsiTheme="majorHAnsi" w:cstheme="majorHAnsi"/>
        </w:rPr>
        <w:t>Sans un avis de la commission de gestion des réserves naturelles ou de la Direction de la Nature et des Espaces Verts approuvant la nécessité de modifier l’article 7 sur base d’éléments scientifiques apportés par le gestionnaire.</w:t>
      </w:r>
    </w:p>
    <w:p w14:paraId="6124C1F9"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12 – Résiliation pour faute</w:t>
      </w:r>
    </w:p>
    <w:p w14:paraId="5A324619" w14:textId="77777777" w:rsidR="002975F4" w:rsidRDefault="00000000">
      <w:pPr>
        <w:jc w:val="both"/>
        <w:rPr>
          <w:rFonts w:asciiTheme="majorHAnsi" w:hAnsiTheme="majorHAnsi" w:cstheme="majorHAnsi"/>
        </w:rPr>
      </w:pPr>
      <w:r>
        <w:rPr>
          <w:rFonts w:asciiTheme="majorHAnsi" w:hAnsiTheme="majorHAnsi" w:cstheme="majorHAnsi"/>
        </w:rPr>
        <w:t>§1. La violation d’une des obligations visées aux articles 5, 8-1° à 9°, 13 alinéa 1er ou toute omission ou fausse déclaration lors de la procédure de soumission aboutissant à la signature du présent commodat entraînera de plein droit sa résiliation.</w:t>
      </w:r>
    </w:p>
    <w:p w14:paraId="55B80259" w14:textId="77777777" w:rsidR="002975F4" w:rsidRDefault="00000000">
      <w:pPr>
        <w:jc w:val="both"/>
        <w:rPr>
          <w:rFonts w:asciiTheme="majorHAnsi" w:hAnsiTheme="majorHAnsi" w:cstheme="majorHAnsi"/>
        </w:rPr>
      </w:pPr>
      <w:bookmarkStart w:id="6" w:name="_Hlk158644560"/>
      <w:r>
        <w:rPr>
          <w:rFonts w:asciiTheme="majorHAnsi" w:hAnsiTheme="majorHAnsi" w:cstheme="majorHAnsi"/>
        </w:rPr>
        <w:t xml:space="preserve">La résiliation prendra cours le jour ouvrable suivant celui de l’envoi recommandé, par le prêteur, du courrier qui en avertira l’emprunteur, la date de la poste faisant foi. </w:t>
      </w:r>
      <w:bookmarkEnd w:id="6"/>
    </w:p>
    <w:p w14:paraId="0F3F054C" w14:textId="77777777" w:rsidR="002975F4" w:rsidRDefault="00000000">
      <w:pPr>
        <w:jc w:val="both"/>
        <w:rPr>
          <w:rFonts w:asciiTheme="majorHAnsi" w:hAnsiTheme="majorHAnsi" w:cstheme="majorHAnsi"/>
        </w:rPr>
      </w:pPr>
      <w:r>
        <w:rPr>
          <w:rFonts w:asciiTheme="majorHAnsi" w:hAnsiTheme="majorHAnsi" w:cstheme="majorHAnsi"/>
        </w:rPr>
        <w:t>§2. La violation d’une des obligations visées à</w:t>
      </w:r>
      <w:r>
        <w:rPr>
          <w:rFonts w:asciiTheme="majorHAnsi" w:hAnsiTheme="majorHAnsi" w:cstheme="majorHAnsi"/>
          <w:highlight w:val="white"/>
        </w:rPr>
        <w:t xml:space="preserve"> l’article 7 ou 8-10° à 20° fe</w:t>
      </w:r>
      <w:r>
        <w:rPr>
          <w:rFonts w:asciiTheme="majorHAnsi" w:hAnsiTheme="majorHAnsi" w:cstheme="majorHAnsi"/>
        </w:rPr>
        <w:t xml:space="preserve">ra l’objet d’un avertissement écrit par envoi recommandé. </w:t>
      </w:r>
    </w:p>
    <w:p w14:paraId="7FBAFCD6" w14:textId="77777777" w:rsidR="002975F4" w:rsidRDefault="00000000">
      <w:pPr>
        <w:jc w:val="both"/>
        <w:rPr>
          <w:rFonts w:asciiTheme="majorHAnsi" w:hAnsiTheme="majorHAnsi" w:cstheme="majorHAnsi"/>
        </w:rPr>
      </w:pPr>
      <w:r>
        <w:rPr>
          <w:rFonts w:asciiTheme="majorHAnsi" w:hAnsiTheme="majorHAnsi" w:cstheme="majorHAnsi"/>
        </w:rPr>
        <w:lastRenderedPageBreak/>
        <w:t>Si l’emprunteur ne respecte pas cette obligation dans un délai d’un mois suivant l’envoi dudit avertissement ou si deux avertissements sont adressés à l’emprunteur dans un délai de 5 années, la présente convention sera résiliée de plein droit.</w:t>
      </w:r>
    </w:p>
    <w:p w14:paraId="4382A1D7" w14:textId="77777777" w:rsidR="002975F4" w:rsidRDefault="00000000">
      <w:pPr>
        <w:jc w:val="both"/>
        <w:rPr>
          <w:rFonts w:asciiTheme="majorHAnsi" w:hAnsiTheme="majorHAnsi" w:cstheme="majorHAnsi"/>
        </w:rPr>
      </w:pPr>
      <w:r>
        <w:rPr>
          <w:rFonts w:asciiTheme="majorHAnsi" w:hAnsiTheme="majorHAnsi" w:cstheme="majorHAnsi"/>
        </w:rPr>
        <w:t>La résiliation prendra cours le jour ouvrable suivant celui de l’envoi recommandé, par le prêteur, du courrier qui en avertira l’emprunteur, la date de la poste faisant foi.</w:t>
      </w:r>
    </w:p>
    <w:p w14:paraId="058797F1" w14:textId="77777777" w:rsidR="002975F4" w:rsidRDefault="00000000">
      <w:pPr>
        <w:jc w:val="both"/>
        <w:rPr>
          <w:rFonts w:asciiTheme="majorHAnsi" w:hAnsiTheme="majorHAnsi" w:cstheme="majorHAnsi"/>
        </w:rPr>
      </w:pPr>
      <w:r>
        <w:rPr>
          <w:rFonts w:asciiTheme="majorHAnsi" w:hAnsiTheme="majorHAnsi" w:cstheme="majorHAnsi"/>
        </w:rPr>
        <w:t>§3. Conformément à l’article 8.8 de la section 1ère du chapitre 2 du livre 8 : « la preuve » du Code civil, la preuve des faits visés aux paragraphes 1 et 2 peut être apportée par tous modes de preuve</w:t>
      </w:r>
    </w:p>
    <w:p w14:paraId="3DDC9C11"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13 – Cession, concession de droit personnel par l’emprunteur</w:t>
      </w:r>
    </w:p>
    <w:p w14:paraId="535C15C3" w14:textId="77777777" w:rsidR="002975F4" w:rsidRDefault="00000000">
      <w:pPr>
        <w:jc w:val="both"/>
        <w:rPr>
          <w:rFonts w:asciiTheme="majorHAnsi" w:hAnsiTheme="majorHAnsi" w:cstheme="majorHAnsi"/>
        </w:rPr>
      </w:pPr>
      <w:r>
        <w:rPr>
          <w:rFonts w:asciiTheme="majorHAnsi" w:hAnsiTheme="majorHAnsi" w:cstheme="majorHAnsi"/>
        </w:rPr>
        <w:t xml:space="preserve">Sauf accord du prêteur, l’emprunteur ne peut ni céder son droit, ni concéder des droits personnels (location, </w:t>
      </w:r>
      <w:proofErr w:type="gramStart"/>
      <w:r>
        <w:rPr>
          <w:rFonts w:asciiTheme="majorHAnsi" w:hAnsiTheme="majorHAnsi" w:cstheme="majorHAnsi"/>
        </w:rPr>
        <w:t>échange,…</w:t>
      </w:r>
      <w:proofErr w:type="gramEnd"/>
      <w:r>
        <w:rPr>
          <w:rFonts w:asciiTheme="majorHAnsi" w:hAnsiTheme="majorHAnsi" w:cstheme="majorHAnsi"/>
        </w:rPr>
        <w:t>) sur le terrain, sauf à l’égard de ses descendants ou enfants adoptifs ou ceux de son conjoint, de son cohabitant légal ou aux conjoints ou aux cohabitants légaux desdits descendants ou enfants adoptifs.</w:t>
      </w:r>
    </w:p>
    <w:p w14:paraId="0EBBAEA9" w14:textId="77777777" w:rsidR="002975F4" w:rsidRDefault="00000000">
      <w:pPr>
        <w:jc w:val="both"/>
        <w:rPr>
          <w:rFonts w:asciiTheme="majorHAnsi" w:hAnsiTheme="majorHAnsi" w:cstheme="majorHAnsi"/>
        </w:rPr>
      </w:pPr>
      <w:r>
        <w:rPr>
          <w:rFonts w:asciiTheme="majorHAnsi" w:hAnsiTheme="majorHAnsi" w:cstheme="majorHAnsi"/>
        </w:rPr>
        <w:t>En cas de cession de son droit à l’égard d’une des personnes visées à l’alinéa 1</w:t>
      </w:r>
      <w:r>
        <w:rPr>
          <w:rFonts w:asciiTheme="majorHAnsi" w:hAnsiTheme="majorHAnsi" w:cstheme="majorHAnsi"/>
          <w:vertAlign w:val="superscript"/>
        </w:rPr>
        <w:t>er</w:t>
      </w:r>
      <w:r>
        <w:rPr>
          <w:rFonts w:asciiTheme="majorHAnsi" w:hAnsiTheme="majorHAnsi" w:cstheme="majorHAnsi"/>
        </w:rPr>
        <w:t>, l’emprunteur en informe le prêteur dans les trois mois de ladite cession, ce à peine de nullité. Le cédant reste tenu solidairement des obligations du commodat.</w:t>
      </w:r>
    </w:p>
    <w:p w14:paraId="5128548C" w14:textId="77777777" w:rsidR="002975F4" w:rsidRDefault="00000000">
      <w:pPr>
        <w:jc w:val="both"/>
        <w:rPr>
          <w:rFonts w:asciiTheme="majorHAnsi" w:hAnsiTheme="majorHAnsi" w:cstheme="majorHAnsi"/>
        </w:rPr>
      </w:pPr>
      <w:r>
        <w:rPr>
          <w:rFonts w:asciiTheme="majorHAnsi" w:hAnsiTheme="majorHAnsi" w:cstheme="majorHAnsi"/>
        </w:rPr>
        <w:t xml:space="preserve">La cession n’a aucun effet sur la durée du commodat dont la période fixe ne peut être dépassée. </w:t>
      </w:r>
    </w:p>
    <w:p w14:paraId="13405FD2" w14:textId="77777777" w:rsidR="002975F4" w:rsidRDefault="00000000">
      <w:pPr>
        <w:jc w:val="both"/>
        <w:rPr>
          <w:rFonts w:asciiTheme="majorHAnsi" w:hAnsiTheme="majorHAnsi" w:cstheme="majorHAnsi"/>
          <w:sz w:val="24"/>
          <w:szCs w:val="24"/>
          <w:u w:val="single"/>
        </w:rPr>
      </w:pPr>
      <w:r>
        <w:rPr>
          <w:rFonts w:asciiTheme="majorHAnsi" w:hAnsiTheme="majorHAnsi" w:cstheme="majorHAnsi"/>
          <w:sz w:val="24"/>
          <w:szCs w:val="24"/>
          <w:u w:val="single"/>
        </w:rPr>
        <w:t>Article 14 – Décès de l’emprunteur</w:t>
      </w:r>
    </w:p>
    <w:p w14:paraId="27A8B06A" w14:textId="77777777" w:rsidR="002975F4" w:rsidRDefault="00000000">
      <w:pPr>
        <w:jc w:val="both"/>
        <w:rPr>
          <w:rFonts w:asciiTheme="majorHAnsi" w:hAnsiTheme="majorHAnsi" w:cstheme="majorHAnsi"/>
        </w:rPr>
      </w:pPr>
      <w:r>
        <w:rPr>
          <w:rFonts w:asciiTheme="majorHAnsi" w:hAnsiTheme="majorHAnsi" w:cstheme="majorHAnsi"/>
        </w:rPr>
        <w:t>En cas de décès de l’emprunteur, ses héritiers ne peuvent continuer de jouir du terrain sauf si ceux-ci sont ses descendants ou enfants adoptifs ou ceux de son conjoint, de son cohabitant légal ou aux conjoints ou aux cohabitants légaux desdits descendants ou enfants adoptifs.</w:t>
      </w:r>
    </w:p>
    <w:p w14:paraId="0D84A408" w14:textId="77777777" w:rsidR="002975F4" w:rsidRDefault="00000000">
      <w:pPr>
        <w:jc w:val="both"/>
        <w:rPr>
          <w:rFonts w:asciiTheme="majorHAnsi" w:hAnsiTheme="majorHAnsi" w:cstheme="majorHAnsi"/>
        </w:rPr>
      </w:pPr>
      <w:r>
        <w:rPr>
          <w:rFonts w:asciiTheme="majorHAnsi" w:hAnsiTheme="majorHAnsi" w:cstheme="majorHAnsi"/>
        </w:rPr>
        <w:t>En cas de transmission aux personnes visées à l’alinéa 1</w:t>
      </w:r>
      <w:r>
        <w:rPr>
          <w:rFonts w:asciiTheme="majorHAnsi" w:hAnsiTheme="majorHAnsi" w:cstheme="majorHAnsi"/>
          <w:vertAlign w:val="superscript"/>
        </w:rPr>
        <w:t>er</w:t>
      </w:r>
      <w:r>
        <w:rPr>
          <w:rFonts w:asciiTheme="majorHAnsi" w:hAnsiTheme="majorHAnsi" w:cstheme="majorHAnsi"/>
        </w:rPr>
        <w:t>, celles-ci en informent le prêteur dans les trois mois du décès.</w:t>
      </w:r>
    </w:p>
    <w:p w14:paraId="3495925C" w14:textId="77777777" w:rsidR="002975F4" w:rsidRDefault="00000000">
      <w:pPr>
        <w:jc w:val="both"/>
        <w:rPr>
          <w:rFonts w:asciiTheme="majorHAnsi" w:hAnsiTheme="majorHAnsi" w:cstheme="majorHAnsi"/>
        </w:rPr>
      </w:pPr>
      <w:r>
        <w:rPr>
          <w:rFonts w:asciiTheme="majorHAnsi" w:hAnsiTheme="majorHAnsi" w:cstheme="majorHAnsi"/>
        </w:rPr>
        <w:t xml:space="preserve">La transmission </w:t>
      </w:r>
      <w:bookmarkStart w:id="7" w:name="_Hlk162529101"/>
      <w:r>
        <w:rPr>
          <w:rFonts w:asciiTheme="majorHAnsi" w:hAnsiTheme="majorHAnsi" w:cstheme="majorHAnsi"/>
        </w:rPr>
        <w:t>aux personnes visées à l’alinéa 1</w:t>
      </w:r>
      <w:r>
        <w:rPr>
          <w:rFonts w:asciiTheme="majorHAnsi" w:hAnsiTheme="majorHAnsi" w:cstheme="majorHAnsi"/>
          <w:vertAlign w:val="superscript"/>
        </w:rPr>
        <w:t>er</w:t>
      </w:r>
      <w:r>
        <w:rPr>
          <w:rFonts w:asciiTheme="majorHAnsi" w:hAnsiTheme="majorHAnsi" w:cstheme="majorHAnsi"/>
        </w:rPr>
        <w:t xml:space="preserve"> </w:t>
      </w:r>
      <w:bookmarkEnd w:id="7"/>
      <w:r>
        <w:rPr>
          <w:rFonts w:asciiTheme="majorHAnsi" w:hAnsiTheme="majorHAnsi" w:cstheme="majorHAnsi"/>
        </w:rPr>
        <w:t>n’a aucun effet sur la durée du commodat dont la période fixe ne peut être dépassée.</w:t>
      </w:r>
    </w:p>
    <w:p w14:paraId="691CA9E3" w14:textId="77777777" w:rsidR="002975F4" w:rsidRDefault="00000000">
      <w:pPr>
        <w:jc w:val="both"/>
        <w:rPr>
          <w:rFonts w:asciiTheme="majorHAnsi" w:hAnsiTheme="majorHAnsi" w:cstheme="majorHAnsi"/>
          <w:sz w:val="24"/>
          <w:szCs w:val="24"/>
          <w:u w:val="single"/>
        </w:rPr>
      </w:pPr>
      <w:r>
        <w:rPr>
          <w:rFonts w:asciiTheme="majorHAnsi" w:hAnsiTheme="majorHAnsi" w:cstheme="majorHAnsi"/>
          <w:sz w:val="24"/>
          <w:szCs w:val="24"/>
          <w:u w:val="single"/>
        </w:rPr>
        <w:t>Article 15 – Retrait d’un co-emprunteur</w:t>
      </w:r>
    </w:p>
    <w:p w14:paraId="0BAE5AD6" w14:textId="77777777" w:rsidR="002975F4" w:rsidRDefault="00000000">
      <w:pPr>
        <w:jc w:val="both"/>
        <w:rPr>
          <w:rFonts w:asciiTheme="majorHAnsi" w:hAnsiTheme="majorHAnsi" w:cstheme="majorHAnsi"/>
        </w:rPr>
      </w:pPr>
      <w:r>
        <w:rPr>
          <w:rFonts w:asciiTheme="majorHAnsi" w:hAnsiTheme="majorHAnsi" w:cstheme="majorHAnsi"/>
        </w:rPr>
        <w:t xml:space="preserve">En cas de co-emprunteurs, si l'un d’eux décide de se retirer, le commodat se poursuit au profit des autres co-emprunteurs. </w:t>
      </w:r>
    </w:p>
    <w:p w14:paraId="3ADF7066" w14:textId="77777777" w:rsidR="002975F4" w:rsidRDefault="00000000">
      <w:pPr>
        <w:jc w:val="both"/>
        <w:rPr>
          <w:rFonts w:asciiTheme="majorHAnsi" w:hAnsiTheme="majorHAnsi" w:cstheme="majorHAnsi"/>
        </w:rPr>
      </w:pPr>
      <w:r>
        <w:rPr>
          <w:rFonts w:asciiTheme="majorHAnsi" w:hAnsiTheme="majorHAnsi" w:cstheme="majorHAnsi"/>
        </w:rPr>
        <w:t>Le co-emprunteur notifie son retrait au prêteur.</w:t>
      </w:r>
    </w:p>
    <w:p w14:paraId="28E7DCC9" w14:textId="77777777" w:rsidR="002975F4" w:rsidRDefault="00000000">
      <w:pPr>
        <w:jc w:val="both"/>
        <w:rPr>
          <w:rFonts w:asciiTheme="majorHAnsi" w:hAnsiTheme="majorHAnsi" w:cstheme="majorHAnsi"/>
        </w:rPr>
      </w:pPr>
      <w:r>
        <w:rPr>
          <w:rFonts w:asciiTheme="majorHAnsi" w:hAnsiTheme="majorHAnsi" w:cstheme="majorHAnsi"/>
        </w:rPr>
        <w:t>Le co-emprunteur qui se retire reste tenu des obligations du commodat solidairement avec les autres co-emprunteurs.</w:t>
      </w:r>
    </w:p>
    <w:p w14:paraId="620DDBCA" w14:textId="77777777" w:rsidR="002975F4" w:rsidRDefault="00000000">
      <w:pPr>
        <w:jc w:val="both"/>
        <w:rPr>
          <w:rFonts w:asciiTheme="majorHAnsi" w:hAnsiTheme="majorHAnsi" w:cstheme="majorHAnsi"/>
        </w:rPr>
      </w:pPr>
      <w:r>
        <w:rPr>
          <w:rFonts w:asciiTheme="majorHAnsi" w:hAnsiTheme="majorHAnsi" w:cstheme="majorHAnsi"/>
        </w:rPr>
        <w:t>Le retrait d’un co-emprunteur n’a aucun effet sur la durée du commodat dont la période fixe ne peut être dépassée.</w:t>
      </w:r>
    </w:p>
    <w:p w14:paraId="48B5CD3E"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t>Article 16 – Accès aux terrains </w:t>
      </w:r>
    </w:p>
    <w:p w14:paraId="018F9CD8" w14:textId="77777777" w:rsidR="002975F4" w:rsidRDefault="00000000">
      <w:pPr>
        <w:jc w:val="both"/>
        <w:rPr>
          <w:rFonts w:asciiTheme="majorHAnsi" w:hAnsiTheme="majorHAnsi" w:cstheme="majorHAnsi"/>
        </w:rPr>
      </w:pPr>
      <w:r>
        <w:rPr>
          <w:rFonts w:asciiTheme="majorHAnsi" w:hAnsiTheme="majorHAnsi" w:cstheme="majorHAnsi"/>
        </w:rPr>
        <w:t>L’emprunteur ne peut empêcher l’accès aux terrains dans le cadre d’activités scientifiques organisées par le prêteur.</w:t>
      </w:r>
    </w:p>
    <w:p w14:paraId="7D80AB5C" w14:textId="77777777" w:rsidR="002975F4" w:rsidRDefault="00000000">
      <w:pPr>
        <w:jc w:val="both"/>
        <w:rPr>
          <w:rFonts w:asciiTheme="majorHAnsi" w:hAnsiTheme="majorHAnsi" w:cstheme="majorHAnsi"/>
          <w:strike/>
          <w:highlight w:val="yellow"/>
        </w:rPr>
      </w:pPr>
      <w:r>
        <w:rPr>
          <w:rFonts w:asciiTheme="majorHAnsi" w:hAnsiTheme="majorHAnsi" w:cstheme="majorHAnsi"/>
        </w:rPr>
        <w:t xml:space="preserve">L’emprunteur ne peut empêcher l’accès aux terrains dans le cadre d’activités de sensibilisation organisée par le prêteur. </w:t>
      </w:r>
    </w:p>
    <w:p w14:paraId="4C3ADEA9" w14:textId="77777777" w:rsidR="002975F4" w:rsidRDefault="00000000">
      <w:pPr>
        <w:jc w:val="both"/>
        <w:rPr>
          <w:rFonts w:asciiTheme="majorHAnsi" w:hAnsiTheme="majorHAnsi" w:cstheme="majorHAnsi"/>
        </w:rPr>
      </w:pPr>
      <w:r>
        <w:rPr>
          <w:rFonts w:asciiTheme="majorHAnsi" w:hAnsiTheme="majorHAnsi" w:cstheme="majorHAnsi"/>
        </w:rPr>
        <w:lastRenderedPageBreak/>
        <w:t>Le prêteur est responsable des éventuels dommages causés lors des activités visées aux alinéas 1 et 2.</w:t>
      </w:r>
    </w:p>
    <w:p w14:paraId="097CD08A"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br w:type="page" w:clear="all"/>
      </w:r>
    </w:p>
    <w:p w14:paraId="1458FB21" w14:textId="77777777" w:rsidR="002975F4" w:rsidRDefault="00000000">
      <w:pPr>
        <w:rPr>
          <w:rFonts w:asciiTheme="majorHAnsi" w:hAnsiTheme="majorHAnsi" w:cstheme="majorHAnsi"/>
          <w:sz w:val="24"/>
          <w:szCs w:val="24"/>
          <w:u w:val="single"/>
        </w:rPr>
      </w:pPr>
      <w:r>
        <w:rPr>
          <w:rFonts w:asciiTheme="majorHAnsi" w:hAnsiTheme="majorHAnsi" w:cstheme="majorHAnsi"/>
          <w:sz w:val="24"/>
          <w:szCs w:val="24"/>
          <w:u w:val="single"/>
        </w:rPr>
        <w:lastRenderedPageBreak/>
        <w:t>Article 17 – Responsabilité </w:t>
      </w:r>
    </w:p>
    <w:p w14:paraId="34A6CEEC" w14:textId="77777777" w:rsidR="002975F4" w:rsidRDefault="00000000">
      <w:pPr>
        <w:jc w:val="both"/>
        <w:rPr>
          <w:rFonts w:asciiTheme="majorHAnsi" w:hAnsiTheme="majorHAnsi" w:cstheme="majorHAnsi"/>
        </w:rPr>
      </w:pPr>
      <w:r>
        <w:rPr>
          <w:rFonts w:asciiTheme="majorHAnsi" w:hAnsiTheme="majorHAnsi" w:cstheme="majorHAnsi"/>
        </w:rPr>
        <w:t>La responsabilité des dommages aux personnes, aux biens et aux choses trouvant leur cause dans la gestion et l’exploitation des terrains est entièrement à charge de l’emprunteur. Celui-ci veille à souscrire une assurance ou plusieurs assurances et s’acquitte à temps du règlement des primes. </w:t>
      </w:r>
    </w:p>
    <w:p w14:paraId="7E5CF478" w14:textId="77777777" w:rsidR="002975F4" w:rsidRDefault="00000000">
      <w:pPr>
        <w:spacing w:after="0" w:line="240" w:lineRule="auto"/>
        <w:rPr>
          <w:rFonts w:asciiTheme="majorHAnsi" w:hAnsiTheme="majorHAnsi" w:cstheme="majorHAnsi"/>
          <w:sz w:val="24"/>
          <w:szCs w:val="24"/>
          <w:u w:val="single"/>
        </w:rPr>
      </w:pPr>
      <w:r>
        <w:rPr>
          <w:rFonts w:asciiTheme="majorHAnsi" w:hAnsiTheme="majorHAnsi" w:cstheme="majorHAnsi"/>
          <w:sz w:val="24"/>
          <w:szCs w:val="24"/>
          <w:u w:val="single"/>
        </w:rPr>
        <w:t>Article 18 – Exclusion de la législation sur le bail à ferme</w:t>
      </w:r>
    </w:p>
    <w:p w14:paraId="4F1B9D66" w14:textId="77777777" w:rsidR="002975F4" w:rsidRDefault="002975F4">
      <w:pPr>
        <w:spacing w:after="0" w:line="240" w:lineRule="auto"/>
        <w:rPr>
          <w:rFonts w:asciiTheme="majorHAnsi" w:hAnsiTheme="majorHAnsi" w:cstheme="majorHAnsi"/>
          <w:sz w:val="24"/>
          <w:szCs w:val="24"/>
          <w:u w:val="single"/>
        </w:rPr>
      </w:pPr>
    </w:p>
    <w:p w14:paraId="71722AFE" w14:textId="77777777" w:rsidR="002975F4" w:rsidRDefault="00000000">
      <w:pPr>
        <w:spacing w:after="0" w:line="240" w:lineRule="auto"/>
        <w:rPr>
          <w:rFonts w:asciiTheme="majorHAnsi" w:hAnsiTheme="majorHAnsi" w:cstheme="majorHAnsi"/>
          <w:sz w:val="24"/>
          <w:szCs w:val="24"/>
          <w:u w:val="single"/>
        </w:rPr>
      </w:pPr>
      <w:r>
        <w:rPr>
          <w:rFonts w:asciiTheme="majorHAnsi" w:hAnsiTheme="majorHAnsi" w:cstheme="majorHAnsi"/>
        </w:rPr>
        <w:t xml:space="preserve">Le prêteur et l’emprunteur reconnaissent expressément </w:t>
      </w:r>
      <w:bookmarkStart w:id="8" w:name="_Hlk162439571"/>
      <w:r>
        <w:rPr>
          <w:rFonts w:asciiTheme="majorHAnsi" w:hAnsiTheme="majorHAnsi" w:cstheme="majorHAnsi"/>
        </w:rPr>
        <w:t>l’incompatibilité de la législation relative au bail à ferme, et notamment la liberté de culture, avec les obligations reposant sur le prêteur en matière de gestion des réserves naturelles, obligations pour partie répercutées sur l’emprunteur dans le cadre de la présente convention.</w:t>
      </w:r>
      <w:bookmarkEnd w:id="8"/>
    </w:p>
    <w:p w14:paraId="43E8436A" w14:textId="77777777" w:rsidR="002975F4" w:rsidRDefault="002975F4">
      <w:pPr>
        <w:spacing w:after="0" w:line="240" w:lineRule="auto"/>
        <w:rPr>
          <w:rFonts w:asciiTheme="majorHAnsi" w:hAnsiTheme="majorHAnsi" w:cstheme="majorHAnsi"/>
          <w:sz w:val="24"/>
          <w:szCs w:val="24"/>
          <w:u w:val="single"/>
        </w:rPr>
      </w:pPr>
    </w:p>
    <w:p w14:paraId="406F1E23" w14:textId="77777777" w:rsidR="002975F4" w:rsidRDefault="00000000">
      <w:pPr>
        <w:spacing w:after="0" w:line="240" w:lineRule="auto"/>
        <w:rPr>
          <w:rFonts w:asciiTheme="majorHAnsi" w:hAnsiTheme="majorHAnsi" w:cstheme="majorHAnsi"/>
        </w:rPr>
      </w:pPr>
      <w:r>
        <w:rPr>
          <w:rFonts w:asciiTheme="majorHAnsi" w:hAnsiTheme="majorHAnsi" w:cstheme="majorHAnsi"/>
        </w:rPr>
        <w:t>Par conséquent, le prêteur et l’emprunteur excluent formellement l’application de la législation relative au bail à ferme de la présente convention, qui est régie par les articles 1875 à 1891 de l’ancien Code Civil.</w:t>
      </w:r>
    </w:p>
    <w:p w14:paraId="01E3FC63" w14:textId="77777777" w:rsidR="002975F4" w:rsidRDefault="002975F4">
      <w:pPr>
        <w:spacing w:after="0" w:line="240" w:lineRule="auto"/>
        <w:rPr>
          <w:rFonts w:asciiTheme="majorHAnsi" w:hAnsiTheme="majorHAnsi" w:cstheme="majorHAnsi"/>
          <w:sz w:val="24"/>
          <w:szCs w:val="24"/>
          <w:u w:val="single"/>
        </w:rPr>
      </w:pPr>
    </w:p>
    <w:p w14:paraId="22560303" w14:textId="77777777" w:rsidR="002975F4" w:rsidRDefault="00000000">
      <w:pPr>
        <w:jc w:val="both"/>
        <w:rPr>
          <w:rFonts w:asciiTheme="majorHAnsi" w:hAnsiTheme="majorHAnsi" w:cstheme="majorHAnsi"/>
          <w:sz w:val="24"/>
          <w:szCs w:val="24"/>
          <w:u w:val="single"/>
        </w:rPr>
      </w:pPr>
      <w:r>
        <w:rPr>
          <w:rFonts w:asciiTheme="majorHAnsi" w:hAnsiTheme="majorHAnsi" w:cstheme="majorHAnsi"/>
          <w:sz w:val="24"/>
          <w:szCs w:val="24"/>
          <w:u w:val="single"/>
        </w:rPr>
        <w:t>Article 19 – Transfert de la convention (supprimer si propriétaire=prêteur)</w:t>
      </w:r>
    </w:p>
    <w:p w14:paraId="58BE418A" w14:textId="77777777" w:rsidR="002975F4" w:rsidRDefault="00000000">
      <w:pPr>
        <w:jc w:val="both"/>
        <w:rPr>
          <w:rFonts w:asciiTheme="majorHAnsi" w:hAnsiTheme="majorHAnsi" w:cstheme="majorHAnsi"/>
          <w:highlight w:val="white"/>
        </w:rPr>
      </w:pPr>
      <w:r>
        <w:rPr>
          <w:rFonts w:asciiTheme="majorHAnsi" w:hAnsiTheme="majorHAnsi" w:cstheme="majorHAnsi"/>
          <w:highlight w:val="white"/>
        </w:rPr>
        <w:t>Le prêteur tire ses droits de la convention signée avec le propriétaire des terrains en date du……………… et visée à l’annexe D.</w:t>
      </w:r>
    </w:p>
    <w:p w14:paraId="15E52580" w14:textId="77777777" w:rsidR="002975F4" w:rsidRDefault="00000000">
      <w:pPr>
        <w:jc w:val="both"/>
        <w:rPr>
          <w:rFonts w:asciiTheme="majorHAnsi" w:hAnsiTheme="majorHAnsi" w:cstheme="majorHAnsi"/>
        </w:rPr>
      </w:pPr>
      <w:r>
        <w:rPr>
          <w:rFonts w:asciiTheme="majorHAnsi" w:hAnsiTheme="majorHAnsi" w:cstheme="majorHAnsi"/>
        </w:rPr>
        <w:t>Conformément à l’article 5.193 du livre 5 « Les obligations » du Code civil, si la convention entre le propriétaire et le prêteur prend fin avant la fin du présent commodat, le prêteur cède sa position contractuelle dans le cadre du présent commodat au propriétaire et celui-ci se poursuit.</w:t>
      </w:r>
    </w:p>
    <w:p w14:paraId="12DC553A" w14:textId="77777777" w:rsidR="002975F4" w:rsidRDefault="00000000">
      <w:pPr>
        <w:jc w:val="both"/>
        <w:rPr>
          <w:rFonts w:asciiTheme="majorHAnsi" w:hAnsiTheme="majorHAnsi" w:cstheme="majorHAnsi"/>
        </w:rPr>
      </w:pPr>
      <w:r>
        <w:rPr>
          <w:rFonts w:asciiTheme="majorHAnsi" w:hAnsiTheme="majorHAnsi" w:cstheme="majorHAnsi"/>
        </w:rPr>
        <w:t xml:space="preserve">Cette cession libère le prêteur pour les dettes qui deviennent exigibles après la cession. </w:t>
      </w:r>
    </w:p>
    <w:p w14:paraId="29BE4E9D" w14:textId="77777777" w:rsidR="002975F4" w:rsidRDefault="00000000">
      <w:pPr>
        <w:jc w:val="both"/>
        <w:rPr>
          <w:rFonts w:asciiTheme="majorHAnsi" w:hAnsiTheme="majorHAnsi" w:cstheme="majorHAnsi"/>
        </w:rPr>
      </w:pPr>
      <w:r>
        <w:rPr>
          <w:rFonts w:asciiTheme="majorHAnsi" w:hAnsiTheme="majorHAnsi" w:cstheme="majorHAnsi"/>
        </w:rPr>
        <w:t>Cette cession ne produit ses effets qu'après notification ou reconnaissance de la fin de la convention entre le propriétaire et le prêteur.  </w:t>
      </w:r>
    </w:p>
    <w:p w14:paraId="04DAADE3" w14:textId="77777777" w:rsidR="002975F4" w:rsidRDefault="002975F4">
      <w:pPr>
        <w:jc w:val="both"/>
        <w:rPr>
          <w:rFonts w:asciiTheme="majorHAnsi" w:hAnsiTheme="majorHAnsi" w:cstheme="majorHAnsi"/>
          <w:sz w:val="24"/>
          <w:szCs w:val="24"/>
          <w:u w:val="single"/>
        </w:rPr>
      </w:pPr>
    </w:p>
    <w:tbl>
      <w:tblPr>
        <w:tblStyle w:val="Grilledutableau"/>
        <w:tblW w:w="0" w:type="auto"/>
        <w:tblLook w:val="04A0" w:firstRow="1" w:lastRow="0" w:firstColumn="1" w:lastColumn="0" w:noHBand="0" w:noVBand="1"/>
      </w:tblPr>
      <w:tblGrid>
        <w:gridCol w:w="3020"/>
        <w:gridCol w:w="3021"/>
        <w:gridCol w:w="3021"/>
      </w:tblGrid>
      <w:tr w:rsidR="002975F4" w14:paraId="7C2C35A4" w14:textId="77777777">
        <w:tc>
          <w:tcPr>
            <w:tcW w:w="9062" w:type="dxa"/>
            <w:gridSpan w:val="3"/>
            <w:tcBorders>
              <w:top w:val="single" w:sz="4" w:space="0" w:color="FFFFFF"/>
              <w:left w:val="single" w:sz="4" w:space="0" w:color="FFFFFF"/>
              <w:bottom w:val="none" w:sz="4" w:space="0" w:color="000000"/>
              <w:right w:val="single" w:sz="4" w:space="0" w:color="FFFFFF"/>
            </w:tcBorders>
          </w:tcPr>
          <w:p w14:paraId="544D9091" w14:textId="77777777" w:rsidR="002975F4" w:rsidRDefault="00000000">
            <w:pPr>
              <w:jc w:val="both"/>
              <w:rPr>
                <w:rFonts w:asciiTheme="majorHAnsi" w:hAnsiTheme="majorHAnsi" w:cstheme="majorHAnsi"/>
              </w:rPr>
            </w:pPr>
            <w:r>
              <w:rPr>
                <w:rFonts w:asciiTheme="majorHAnsi" w:hAnsiTheme="majorHAnsi" w:cstheme="majorHAnsi"/>
              </w:rPr>
              <w:t xml:space="preserve">Fait en trois exemplaires, </w:t>
            </w:r>
            <w:r>
              <w:rPr>
                <w:rFonts w:asciiTheme="majorHAnsi" w:hAnsiTheme="majorHAnsi" w:cstheme="majorHAnsi"/>
                <w:highlight w:val="white"/>
              </w:rPr>
              <w:t>à (lieu), le (date)</w:t>
            </w:r>
          </w:p>
          <w:p w14:paraId="3EAFDFDF" w14:textId="77777777" w:rsidR="002975F4" w:rsidRDefault="002975F4">
            <w:pPr>
              <w:jc w:val="both"/>
              <w:rPr>
                <w:rFonts w:asciiTheme="majorHAnsi" w:hAnsiTheme="majorHAnsi" w:cstheme="majorHAnsi"/>
              </w:rPr>
            </w:pPr>
          </w:p>
        </w:tc>
      </w:tr>
      <w:tr w:rsidR="002975F4" w14:paraId="45D7A03D" w14:textId="77777777">
        <w:tc>
          <w:tcPr>
            <w:tcW w:w="3020" w:type="dxa"/>
            <w:tcBorders>
              <w:top w:val="none" w:sz="4" w:space="0" w:color="000000"/>
              <w:left w:val="single" w:sz="4" w:space="0" w:color="FFFFFF"/>
              <w:bottom w:val="single" w:sz="4" w:space="0" w:color="FFFFFF"/>
              <w:right w:val="single" w:sz="4" w:space="0" w:color="FFFFFF"/>
            </w:tcBorders>
          </w:tcPr>
          <w:p w14:paraId="4712C74B" w14:textId="77777777" w:rsidR="002975F4" w:rsidRDefault="00000000">
            <w:pPr>
              <w:jc w:val="both"/>
              <w:rPr>
                <w:rFonts w:asciiTheme="majorHAnsi" w:hAnsiTheme="majorHAnsi" w:cstheme="majorHAnsi"/>
              </w:rPr>
            </w:pPr>
            <w:r>
              <w:rPr>
                <w:rFonts w:asciiTheme="majorHAnsi" w:hAnsiTheme="majorHAnsi" w:cstheme="majorHAnsi"/>
              </w:rPr>
              <w:t>L’emprunteur,</w:t>
            </w:r>
          </w:p>
          <w:p w14:paraId="367465AF" w14:textId="77777777" w:rsidR="002975F4" w:rsidRDefault="002975F4">
            <w:pPr>
              <w:jc w:val="both"/>
              <w:rPr>
                <w:rFonts w:asciiTheme="majorHAnsi" w:hAnsiTheme="majorHAnsi" w:cstheme="majorHAnsi"/>
              </w:rPr>
            </w:pPr>
          </w:p>
          <w:p w14:paraId="2A6DB175" w14:textId="77777777" w:rsidR="002975F4" w:rsidRDefault="002975F4">
            <w:pPr>
              <w:jc w:val="both"/>
              <w:rPr>
                <w:rFonts w:asciiTheme="majorHAnsi" w:hAnsiTheme="majorHAnsi" w:cstheme="majorHAnsi"/>
              </w:rPr>
            </w:pPr>
          </w:p>
          <w:p w14:paraId="4D3DA8E6" w14:textId="77777777" w:rsidR="002975F4" w:rsidRDefault="002975F4">
            <w:pPr>
              <w:jc w:val="both"/>
              <w:rPr>
                <w:rFonts w:asciiTheme="majorHAnsi" w:hAnsiTheme="majorHAnsi" w:cstheme="majorHAnsi"/>
              </w:rPr>
            </w:pPr>
          </w:p>
          <w:p w14:paraId="51855FC3" w14:textId="77777777" w:rsidR="002975F4" w:rsidRDefault="002975F4">
            <w:pPr>
              <w:jc w:val="both"/>
              <w:rPr>
                <w:rFonts w:asciiTheme="majorHAnsi" w:hAnsiTheme="majorHAnsi" w:cstheme="majorHAnsi"/>
              </w:rPr>
            </w:pPr>
          </w:p>
          <w:p w14:paraId="04B79E60" w14:textId="77777777" w:rsidR="002975F4" w:rsidRDefault="002975F4">
            <w:pPr>
              <w:jc w:val="both"/>
              <w:rPr>
                <w:rFonts w:asciiTheme="majorHAnsi" w:hAnsiTheme="majorHAnsi" w:cstheme="majorHAnsi"/>
              </w:rPr>
            </w:pPr>
          </w:p>
          <w:p w14:paraId="134376E2" w14:textId="77777777" w:rsidR="002975F4" w:rsidRDefault="002975F4">
            <w:pPr>
              <w:jc w:val="both"/>
              <w:rPr>
                <w:rFonts w:asciiTheme="majorHAnsi" w:hAnsiTheme="majorHAnsi" w:cstheme="majorHAnsi"/>
              </w:rPr>
            </w:pPr>
          </w:p>
          <w:p w14:paraId="1E3483CF" w14:textId="77777777" w:rsidR="002975F4" w:rsidRDefault="002975F4">
            <w:pPr>
              <w:jc w:val="both"/>
              <w:rPr>
                <w:rFonts w:asciiTheme="majorHAnsi" w:hAnsiTheme="majorHAnsi" w:cstheme="majorHAnsi"/>
              </w:rPr>
            </w:pPr>
          </w:p>
        </w:tc>
        <w:tc>
          <w:tcPr>
            <w:tcW w:w="3021" w:type="dxa"/>
            <w:tcBorders>
              <w:top w:val="none" w:sz="4" w:space="0" w:color="000000"/>
              <w:left w:val="single" w:sz="4" w:space="0" w:color="FFFFFF"/>
              <w:bottom w:val="single" w:sz="4" w:space="0" w:color="FFFFFF"/>
              <w:right w:val="single" w:sz="4" w:space="0" w:color="FFFFFF"/>
            </w:tcBorders>
          </w:tcPr>
          <w:p w14:paraId="5FB16F85" w14:textId="77777777" w:rsidR="002975F4" w:rsidRDefault="00000000">
            <w:pPr>
              <w:jc w:val="both"/>
              <w:rPr>
                <w:rFonts w:asciiTheme="majorHAnsi" w:hAnsiTheme="majorHAnsi" w:cstheme="majorHAnsi"/>
              </w:rPr>
            </w:pPr>
            <w:r>
              <w:rPr>
                <w:rFonts w:asciiTheme="majorHAnsi" w:hAnsiTheme="majorHAnsi" w:cstheme="majorHAnsi"/>
              </w:rPr>
              <w:t xml:space="preserve">Le prêteur, </w:t>
            </w:r>
          </w:p>
        </w:tc>
        <w:tc>
          <w:tcPr>
            <w:tcW w:w="3021" w:type="dxa"/>
            <w:tcBorders>
              <w:top w:val="none" w:sz="4" w:space="0" w:color="000000"/>
              <w:left w:val="single" w:sz="4" w:space="0" w:color="FFFFFF"/>
              <w:bottom w:val="single" w:sz="4" w:space="0" w:color="FFFFFF"/>
              <w:right w:val="single" w:sz="4" w:space="0" w:color="FFFFFF"/>
            </w:tcBorders>
          </w:tcPr>
          <w:p w14:paraId="35101A8F" w14:textId="77777777" w:rsidR="002975F4" w:rsidRDefault="00000000">
            <w:pPr>
              <w:jc w:val="both"/>
              <w:rPr>
                <w:rFonts w:asciiTheme="majorHAnsi" w:hAnsiTheme="majorHAnsi" w:cstheme="majorHAnsi"/>
              </w:rPr>
            </w:pPr>
            <w:r>
              <w:rPr>
                <w:rFonts w:asciiTheme="majorHAnsi" w:hAnsiTheme="majorHAnsi" w:cstheme="majorHAnsi"/>
              </w:rPr>
              <w:t>Le propriétaire</w:t>
            </w:r>
          </w:p>
        </w:tc>
      </w:tr>
    </w:tbl>
    <w:p w14:paraId="7C2B1827" w14:textId="77777777" w:rsidR="002975F4" w:rsidRDefault="002975F4">
      <w:pPr>
        <w:jc w:val="both"/>
        <w:rPr>
          <w:rFonts w:asciiTheme="majorHAnsi" w:hAnsiTheme="majorHAnsi" w:cstheme="majorHAnsi"/>
        </w:rPr>
      </w:pPr>
    </w:p>
    <w:p w14:paraId="1C4A81C3" w14:textId="77777777" w:rsidR="002975F4" w:rsidRDefault="00000000">
      <w:pPr>
        <w:spacing w:after="0" w:line="240" w:lineRule="auto"/>
        <w:rPr>
          <w:rFonts w:asciiTheme="majorHAnsi" w:hAnsiTheme="majorHAnsi" w:cstheme="majorHAnsi"/>
        </w:rPr>
      </w:pPr>
      <w:r>
        <w:rPr>
          <w:rFonts w:asciiTheme="majorHAnsi" w:hAnsiTheme="majorHAnsi" w:cstheme="majorHAnsi"/>
        </w:rPr>
        <w:br w:type="page" w:clear="all"/>
      </w:r>
    </w:p>
    <w:p w14:paraId="7160D766" w14:textId="77777777" w:rsidR="002975F4" w:rsidRDefault="00000000">
      <w:pPr>
        <w:jc w:val="center"/>
        <w:rPr>
          <w:rFonts w:cstheme="minorHAnsi"/>
          <w:sz w:val="28"/>
          <w:szCs w:val="28"/>
        </w:rPr>
      </w:pPr>
      <w:r>
        <w:rPr>
          <w:rFonts w:cstheme="minorHAnsi"/>
          <w:sz w:val="28"/>
          <w:szCs w:val="28"/>
        </w:rPr>
        <w:lastRenderedPageBreak/>
        <w:t xml:space="preserve">Annexe A – Etat des lieux </w:t>
      </w:r>
    </w:p>
    <w:p w14:paraId="2B3461C9"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Equipement naturels</w:t>
      </w:r>
    </w:p>
    <w:tbl>
      <w:tblPr>
        <w:tblStyle w:val="Grilledutableau"/>
        <w:tblW w:w="10348" w:type="dxa"/>
        <w:tblInd w:w="-572" w:type="dxa"/>
        <w:tblLook w:val="04A0" w:firstRow="1" w:lastRow="0" w:firstColumn="1" w:lastColumn="0" w:noHBand="0" w:noVBand="1"/>
      </w:tblPr>
      <w:tblGrid>
        <w:gridCol w:w="2558"/>
        <w:gridCol w:w="1672"/>
        <w:gridCol w:w="1011"/>
        <w:gridCol w:w="2414"/>
        <w:gridCol w:w="2693"/>
      </w:tblGrid>
      <w:tr w:rsidR="002975F4" w14:paraId="56D0337B" w14:textId="77777777">
        <w:tc>
          <w:tcPr>
            <w:tcW w:w="0" w:type="auto"/>
            <w:shd w:val="clear" w:color="auto" w:fill="E7E6E6" w:themeFill="background2"/>
            <w:vAlign w:val="center"/>
          </w:tcPr>
          <w:p w14:paraId="13982E12"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Eléments du paysage</w:t>
            </w:r>
          </w:p>
        </w:tc>
        <w:tc>
          <w:tcPr>
            <w:tcW w:w="0" w:type="auto"/>
            <w:shd w:val="clear" w:color="auto" w:fill="E7E6E6" w:themeFill="background2"/>
            <w:vAlign w:val="center"/>
          </w:tcPr>
          <w:p w14:paraId="502C180B"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Présence (Oui/Non)</w:t>
            </w:r>
          </w:p>
        </w:tc>
        <w:tc>
          <w:tcPr>
            <w:tcW w:w="0" w:type="auto"/>
            <w:shd w:val="clear" w:color="auto" w:fill="E7E6E6" w:themeFill="background2"/>
            <w:vAlign w:val="center"/>
          </w:tcPr>
          <w:p w14:paraId="46A33DFB"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Nombre</w:t>
            </w:r>
          </w:p>
        </w:tc>
        <w:tc>
          <w:tcPr>
            <w:tcW w:w="2414" w:type="dxa"/>
            <w:shd w:val="clear" w:color="auto" w:fill="E7E6E6" w:themeFill="background2"/>
            <w:vAlign w:val="center"/>
          </w:tcPr>
          <w:p w14:paraId="7F8D93CE"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Localisation (section et numéro de la parcelle)</w:t>
            </w:r>
          </w:p>
        </w:tc>
        <w:tc>
          <w:tcPr>
            <w:tcW w:w="2693" w:type="dxa"/>
            <w:shd w:val="clear" w:color="auto" w:fill="E7E6E6" w:themeFill="background2"/>
            <w:vAlign w:val="center"/>
          </w:tcPr>
          <w:p w14:paraId="756C4CEE"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Description</w:t>
            </w:r>
          </w:p>
        </w:tc>
      </w:tr>
      <w:tr w:rsidR="002975F4" w14:paraId="418C2A36" w14:textId="77777777">
        <w:tc>
          <w:tcPr>
            <w:tcW w:w="0" w:type="auto"/>
          </w:tcPr>
          <w:p w14:paraId="0C53DA9E"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Arbre(s) remarquable(s)</w:t>
            </w:r>
          </w:p>
        </w:tc>
        <w:tc>
          <w:tcPr>
            <w:tcW w:w="0" w:type="auto"/>
          </w:tcPr>
          <w:p w14:paraId="07F68637" w14:textId="77777777" w:rsidR="002975F4" w:rsidRDefault="002975F4">
            <w:pPr>
              <w:rPr>
                <w:rFonts w:asciiTheme="majorHAnsi" w:hAnsiTheme="majorHAnsi" w:cstheme="majorHAnsi"/>
                <w:sz w:val="24"/>
                <w:szCs w:val="24"/>
              </w:rPr>
            </w:pPr>
          </w:p>
        </w:tc>
        <w:tc>
          <w:tcPr>
            <w:tcW w:w="0" w:type="auto"/>
          </w:tcPr>
          <w:p w14:paraId="1787A2E8" w14:textId="77777777" w:rsidR="002975F4" w:rsidRDefault="002975F4">
            <w:pPr>
              <w:rPr>
                <w:rFonts w:asciiTheme="majorHAnsi" w:hAnsiTheme="majorHAnsi" w:cstheme="majorHAnsi"/>
                <w:sz w:val="24"/>
                <w:szCs w:val="24"/>
              </w:rPr>
            </w:pPr>
          </w:p>
        </w:tc>
        <w:tc>
          <w:tcPr>
            <w:tcW w:w="2414" w:type="dxa"/>
          </w:tcPr>
          <w:p w14:paraId="4981573A" w14:textId="77777777" w:rsidR="002975F4" w:rsidRDefault="002975F4">
            <w:pPr>
              <w:rPr>
                <w:rFonts w:asciiTheme="majorHAnsi" w:hAnsiTheme="majorHAnsi" w:cstheme="majorHAnsi"/>
                <w:sz w:val="24"/>
                <w:szCs w:val="24"/>
              </w:rPr>
            </w:pPr>
          </w:p>
        </w:tc>
        <w:tc>
          <w:tcPr>
            <w:tcW w:w="2693" w:type="dxa"/>
          </w:tcPr>
          <w:p w14:paraId="01FC27B6" w14:textId="77777777" w:rsidR="002975F4" w:rsidRDefault="002975F4">
            <w:pPr>
              <w:rPr>
                <w:rFonts w:asciiTheme="majorHAnsi" w:hAnsiTheme="majorHAnsi" w:cstheme="majorHAnsi"/>
                <w:sz w:val="24"/>
                <w:szCs w:val="24"/>
              </w:rPr>
            </w:pPr>
          </w:p>
        </w:tc>
      </w:tr>
      <w:tr w:rsidR="002975F4" w14:paraId="152CACF5" w14:textId="77777777">
        <w:tc>
          <w:tcPr>
            <w:tcW w:w="0" w:type="auto"/>
          </w:tcPr>
          <w:p w14:paraId="393C4332"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Arbre(s) fruitier(s) de haute tige</w:t>
            </w:r>
          </w:p>
        </w:tc>
        <w:tc>
          <w:tcPr>
            <w:tcW w:w="0" w:type="auto"/>
          </w:tcPr>
          <w:p w14:paraId="57EA9D05" w14:textId="77777777" w:rsidR="002975F4" w:rsidRDefault="002975F4">
            <w:pPr>
              <w:rPr>
                <w:rFonts w:asciiTheme="majorHAnsi" w:hAnsiTheme="majorHAnsi" w:cstheme="majorHAnsi"/>
                <w:sz w:val="24"/>
                <w:szCs w:val="24"/>
              </w:rPr>
            </w:pPr>
          </w:p>
        </w:tc>
        <w:tc>
          <w:tcPr>
            <w:tcW w:w="0" w:type="auto"/>
          </w:tcPr>
          <w:p w14:paraId="5E96AA12" w14:textId="77777777" w:rsidR="002975F4" w:rsidRDefault="002975F4">
            <w:pPr>
              <w:rPr>
                <w:rFonts w:asciiTheme="majorHAnsi" w:hAnsiTheme="majorHAnsi" w:cstheme="majorHAnsi"/>
                <w:sz w:val="24"/>
                <w:szCs w:val="24"/>
              </w:rPr>
            </w:pPr>
          </w:p>
        </w:tc>
        <w:tc>
          <w:tcPr>
            <w:tcW w:w="2414" w:type="dxa"/>
          </w:tcPr>
          <w:p w14:paraId="55076BE6" w14:textId="77777777" w:rsidR="002975F4" w:rsidRDefault="002975F4">
            <w:pPr>
              <w:rPr>
                <w:rFonts w:asciiTheme="majorHAnsi" w:hAnsiTheme="majorHAnsi" w:cstheme="majorHAnsi"/>
                <w:sz w:val="24"/>
                <w:szCs w:val="24"/>
              </w:rPr>
            </w:pPr>
          </w:p>
        </w:tc>
        <w:tc>
          <w:tcPr>
            <w:tcW w:w="2693" w:type="dxa"/>
          </w:tcPr>
          <w:p w14:paraId="18C33DF5" w14:textId="77777777" w:rsidR="002975F4" w:rsidRDefault="002975F4">
            <w:pPr>
              <w:rPr>
                <w:rFonts w:asciiTheme="majorHAnsi" w:hAnsiTheme="majorHAnsi" w:cstheme="majorHAnsi"/>
                <w:sz w:val="24"/>
                <w:szCs w:val="24"/>
              </w:rPr>
            </w:pPr>
          </w:p>
        </w:tc>
      </w:tr>
      <w:tr w:rsidR="002975F4" w14:paraId="12C3E3FB" w14:textId="77777777">
        <w:tc>
          <w:tcPr>
            <w:tcW w:w="0" w:type="auto"/>
          </w:tcPr>
          <w:p w14:paraId="6DF3FB62"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Alignement(s) d’arbres</w:t>
            </w:r>
          </w:p>
        </w:tc>
        <w:tc>
          <w:tcPr>
            <w:tcW w:w="0" w:type="auto"/>
          </w:tcPr>
          <w:p w14:paraId="43FFCA46" w14:textId="77777777" w:rsidR="002975F4" w:rsidRDefault="002975F4">
            <w:pPr>
              <w:rPr>
                <w:rFonts w:asciiTheme="majorHAnsi" w:hAnsiTheme="majorHAnsi" w:cstheme="majorHAnsi"/>
                <w:sz w:val="24"/>
                <w:szCs w:val="24"/>
              </w:rPr>
            </w:pPr>
          </w:p>
        </w:tc>
        <w:tc>
          <w:tcPr>
            <w:tcW w:w="0" w:type="auto"/>
          </w:tcPr>
          <w:p w14:paraId="46FFBA05" w14:textId="77777777" w:rsidR="002975F4" w:rsidRDefault="002975F4">
            <w:pPr>
              <w:rPr>
                <w:rFonts w:asciiTheme="majorHAnsi" w:hAnsiTheme="majorHAnsi" w:cstheme="majorHAnsi"/>
                <w:sz w:val="24"/>
                <w:szCs w:val="24"/>
              </w:rPr>
            </w:pPr>
          </w:p>
        </w:tc>
        <w:tc>
          <w:tcPr>
            <w:tcW w:w="2414" w:type="dxa"/>
          </w:tcPr>
          <w:p w14:paraId="5B901C72" w14:textId="77777777" w:rsidR="002975F4" w:rsidRDefault="002975F4">
            <w:pPr>
              <w:rPr>
                <w:rFonts w:asciiTheme="majorHAnsi" w:hAnsiTheme="majorHAnsi" w:cstheme="majorHAnsi"/>
                <w:sz w:val="24"/>
                <w:szCs w:val="24"/>
              </w:rPr>
            </w:pPr>
          </w:p>
        </w:tc>
        <w:tc>
          <w:tcPr>
            <w:tcW w:w="2693" w:type="dxa"/>
          </w:tcPr>
          <w:p w14:paraId="42A017F5" w14:textId="77777777" w:rsidR="002975F4" w:rsidRDefault="002975F4">
            <w:pPr>
              <w:rPr>
                <w:rFonts w:asciiTheme="majorHAnsi" w:hAnsiTheme="majorHAnsi" w:cstheme="majorHAnsi"/>
                <w:sz w:val="24"/>
                <w:szCs w:val="24"/>
              </w:rPr>
            </w:pPr>
          </w:p>
        </w:tc>
      </w:tr>
      <w:tr w:rsidR="002975F4" w14:paraId="42590839" w14:textId="77777777">
        <w:tc>
          <w:tcPr>
            <w:tcW w:w="0" w:type="auto"/>
          </w:tcPr>
          <w:p w14:paraId="000DBCB9"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Bosquet(s) et arbre(s) en groupe</w:t>
            </w:r>
          </w:p>
        </w:tc>
        <w:tc>
          <w:tcPr>
            <w:tcW w:w="0" w:type="auto"/>
          </w:tcPr>
          <w:p w14:paraId="2A0DC2F3" w14:textId="77777777" w:rsidR="002975F4" w:rsidRDefault="002975F4">
            <w:pPr>
              <w:rPr>
                <w:rFonts w:asciiTheme="majorHAnsi" w:hAnsiTheme="majorHAnsi" w:cstheme="majorHAnsi"/>
                <w:sz w:val="24"/>
                <w:szCs w:val="24"/>
              </w:rPr>
            </w:pPr>
          </w:p>
        </w:tc>
        <w:tc>
          <w:tcPr>
            <w:tcW w:w="0" w:type="auto"/>
          </w:tcPr>
          <w:p w14:paraId="6CFCB187" w14:textId="77777777" w:rsidR="002975F4" w:rsidRDefault="002975F4">
            <w:pPr>
              <w:rPr>
                <w:rFonts w:asciiTheme="majorHAnsi" w:hAnsiTheme="majorHAnsi" w:cstheme="majorHAnsi"/>
                <w:sz w:val="24"/>
                <w:szCs w:val="24"/>
              </w:rPr>
            </w:pPr>
          </w:p>
        </w:tc>
        <w:tc>
          <w:tcPr>
            <w:tcW w:w="2414" w:type="dxa"/>
          </w:tcPr>
          <w:p w14:paraId="353379EF" w14:textId="77777777" w:rsidR="002975F4" w:rsidRDefault="002975F4">
            <w:pPr>
              <w:rPr>
                <w:rFonts w:asciiTheme="majorHAnsi" w:hAnsiTheme="majorHAnsi" w:cstheme="majorHAnsi"/>
                <w:sz w:val="24"/>
                <w:szCs w:val="24"/>
              </w:rPr>
            </w:pPr>
          </w:p>
        </w:tc>
        <w:tc>
          <w:tcPr>
            <w:tcW w:w="2693" w:type="dxa"/>
          </w:tcPr>
          <w:p w14:paraId="12D9A343" w14:textId="77777777" w:rsidR="002975F4" w:rsidRDefault="002975F4">
            <w:pPr>
              <w:rPr>
                <w:rFonts w:asciiTheme="majorHAnsi" w:hAnsiTheme="majorHAnsi" w:cstheme="majorHAnsi"/>
                <w:sz w:val="24"/>
                <w:szCs w:val="24"/>
              </w:rPr>
            </w:pPr>
          </w:p>
        </w:tc>
      </w:tr>
      <w:tr w:rsidR="002975F4" w14:paraId="300028A9" w14:textId="77777777">
        <w:tc>
          <w:tcPr>
            <w:tcW w:w="0" w:type="auto"/>
          </w:tcPr>
          <w:p w14:paraId="6C9D461A"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Buisson(s)</w:t>
            </w:r>
          </w:p>
        </w:tc>
        <w:tc>
          <w:tcPr>
            <w:tcW w:w="0" w:type="auto"/>
          </w:tcPr>
          <w:p w14:paraId="689733A7" w14:textId="77777777" w:rsidR="002975F4" w:rsidRDefault="002975F4">
            <w:pPr>
              <w:rPr>
                <w:rFonts w:asciiTheme="majorHAnsi" w:hAnsiTheme="majorHAnsi" w:cstheme="majorHAnsi"/>
                <w:sz w:val="24"/>
                <w:szCs w:val="24"/>
              </w:rPr>
            </w:pPr>
          </w:p>
        </w:tc>
        <w:tc>
          <w:tcPr>
            <w:tcW w:w="0" w:type="auto"/>
          </w:tcPr>
          <w:p w14:paraId="0BA57034" w14:textId="77777777" w:rsidR="002975F4" w:rsidRDefault="002975F4">
            <w:pPr>
              <w:rPr>
                <w:rFonts w:asciiTheme="majorHAnsi" w:hAnsiTheme="majorHAnsi" w:cstheme="majorHAnsi"/>
                <w:sz w:val="24"/>
                <w:szCs w:val="24"/>
              </w:rPr>
            </w:pPr>
          </w:p>
        </w:tc>
        <w:tc>
          <w:tcPr>
            <w:tcW w:w="2414" w:type="dxa"/>
          </w:tcPr>
          <w:p w14:paraId="64CE28E5" w14:textId="77777777" w:rsidR="002975F4" w:rsidRDefault="002975F4">
            <w:pPr>
              <w:rPr>
                <w:rFonts w:asciiTheme="majorHAnsi" w:hAnsiTheme="majorHAnsi" w:cstheme="majorHAnsi"/>
                <w:sz w:val="24"/>
                <w:szCs w:val="24"/>
              </w:rPr>
            </w:pPr>
          </w:p>
        </w:tc>
        <w:tc>
          <w:tcPr>
            <w:tcW w:w="2693" w:type="dxa"/>
          </w:tcPr>
          <w:p w14:paraId="5403C743" w14:textId="77777777" w:rsidR="002975F4" w:rsidRDefault="002975F4">
            <w:pPr>
              <w:rPr>
                <w:rFonts w:asciiTheme="majorHAnsi" w:hAnsiTheme="majorHAnsi" w:cstheme="majorHAnsi"/>
                <w:sz w:val="24"/>
                <w:szCs w:val="24"/>
              </w:rPr>
            </w:pPr>
          </w:p>
        </w:tc>
      </w:tr>
      <w:tr w:rsidR="002975F4" w14:paraId="5905B660" w14:textId="77777777">
        <w:tc>
          <w:tcPr>
            <w:tcW w:w="0" w:type="auto"/>
          </w:tcPr>
          <w:p w14:paraId="1124B4A3"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Haie(s) </w:t>
            </w:r>
          </w:p>
        </w:tc>
        <w:tc>
          <w:tcPr>
            <w:tcW w:w="0" w:type="auto"/>
          </w:tcPr>
          <w:p w14:paraId="48329181" w14:textId="77777777" w:rsidR="002975F4" w:rsidRDefault="002975F4">
            <w:pPr>
              <w:rPr>
                <w:rFonts w:asciiTheme="majorHAnsi" w:hAnsiTheme="majorHAnsi" w:cstheme="majorHAnsi"/>
                <w:sz w:val="24"/>
                <w:szCs w:val="24"/>
              </w:rPr>
            </w:pPr>
          </w:p>
        </w:tc>
        <w:tc>
          <w:tcPr>
            <w:tcW w:w="0" w:type="auto"/>
          </w:tcPr>
          <w:p w14:paraId="5704D5DB" w14:textId="77777777" w:rsidR="002975F4" w:rsidRDefault="002975F4">
            <w:pPr>
              <w:rPr>
                <w:rFonts w:asciiTheme="majorHAnsi" w:hAnsiTheme="majorHAnsi" w:cstheme="majorHAnsi"/>
                <w:sz w:val="24"/>
                <w:szCs w:val="24"/>
              </w:rPr>
            </w:pPr>
          </w:p>
        </w:tc>
        <w:tc>
          <w:tcPr>
            <w:tcW w:w="2414" w:type="dxa"/>
          </w:tcPr>
          <w:p w14:paraId="6F8D2426" w14:textId="77777777" w:rsidR="002975F4" w:rsidRDefault="002975F4">
            <w:pPr>
              <w:rPr>
                <w:rFonts w:asciiTheme="majorHAnsi" w:hAnsiTheme="majorHAnsi" w:cstheme="majorHAnsi"/>
                <w:sz w:val="24"/>
                <w:szCs w:val="24"/>
              </w:rPr>
            </w:pPr>
          </w:p>
        </w:tc>
        <w:tc>
          <w:tcPr>
            <w:tcW w:w="2693" w:type="dxa"/>
          </w:tcPr>
          <w:p w14:paraId="14B0ADBC" w14:textId="77777777" w:rsidR="002975F4" w:rsidRDefault="002975F4">
            <w:pPr>
              <w:rPr>
                <w:rFonts w:asciiTheme="majorHAnsi" w:hAnsiTheme="majorHAnsi" w:cstheme="majorHAnsi"/>
                <w:sz w:val="24"/>
                <w:szCs w:val="24"/>
              </w:rPr>
            </w:pPr>
          </w:p>
        </w:tc>
      </w:tr>
      <w:tr w:rsidR="002975F4" w14:paraId="67C8EEA3" w14:textId="77777777">
        <w:tc>
          <w:tcPr>
            <w:tcW w:w="0" w:type="auto"/>
          </w:tcPr>
          <w:p w14:paraId="4B3259BD"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Cour(s) d’eau</w:t>
            </w:r>
          </w:p>
        </w:tc>
        <w:tc>
          <w:tcPr>
            <w:tcW w:w="0" w:type="auto"/>
          </w:tcPr>
          <w:p w14:paraId="65A991D5" w14:textId="77777777" w:rsidR="002975F4" w:rsidRDefault="002975F4">
            <w:pPr>
              <w:rPr>
                <w:rFonts w:asciiTheme="majorHAnsi" w:hAnsiTheme="majorHAnsi" w:cstheme="majorHAnsi"/>
                <w:sz w:val="24"/>
                <w:szCs w:val="24"/>
              </w:rPr>
            </w:pPr>
          </w:p>
        </w:tc>
        <w:tc>
          <w:tcPr>
            <w:tcW w:w="0" w:type="auto"/>
          </w:tcPr>
          <w:p w14:paraId="354C80FB" w14:textId="77777777" w:rsidR="002975F4" w:rsidRDefault="002975F4">
            <w:pPr>
              <w:rPr>
                <w:rFonts w:asciiTheme="majorHAnsi" w:hAnsiTheme="majorHAnsi" w:cstheme="majorHAnsi"/>
                <w:sz w:val="24"/>
                <w:szCs w:val="24"/>
              </w:rPr>
            </w:pPr>
          </w:p>
        </w:tc>
        <w:tc>
          <w:tcPr>
            <w:tcW w:w="2414" w:type="dxa"/>
          </w:tcPr>
          <w:p w14:paraId="52FCE68A" w14:textId="77777777" w:rsidR="002975F4" w:rsidRDefault="002975F4">
            <w:pPr>
              <w:rPr>
                <w:rFonts w:asciiTheme="majorHAnsi" w:hAnsiTheme="majorHAnsi" w:cstheme="majorHAnsi"/>
                <w:sz w:val="24"/>
                <w:szCs w:val="24"/>
              </w:rPr>
            </w:pPr>
          </w:p>
        </w:tc>
        <w:tc>
          <w:tcPr>
            <w:tcW w:w="2693" w:type="dxa"/>
          </w:tcPr>
          <w:p w14:paraId="4B250F4E" w14:textId="77777777" w:rsidR="002975F4" w:rsidRDefault="002975F4">
            <w:pPr>
              <w:rPr>
                <w:rFonts w:asciiTheme="majorHAnsi" w:hAnsiTheme="majorHAnsi" w:cstheme="majorHAnsi"/>
                <w:sz w:val="24"/>
                <w:szCs w:val="24"/>
              </w:rPr>
            </w:pPr>
          </w:p>
        </w:tc>
      </w:tr>
      <w:tr w:rsidR="002975F4" w14:paraId="3ACFB3AD" w14:textId="77777777">
        <w:tc>
          <w:tcPr>
            <w:tcW w:w="0" w:type="auto"/>
          </w:tcPr>
          <w:p w14:paraId="2277D21C"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Cour(s) d’eau non classé</w:t>
            </w:r>
          </w:p>
        </w:tc>
        <w:tc>
          <w:tcPr>
            <w:tcW w:w="0" w:type="auto"/>
          </w:tcPr>
          <w:p w14:paraId="69C44F6A" w14:textId="77777777" w:rsidR="002975F4" w:rsidRDefault="002975F4">
            <w:pPr>
              <w:rPr>
                <w:rFonts w:asciiTheme="majorHAnsi" w:hAnsiTheme="majorHAnsi" w:cstheme="majorHAnsi"/>
                <w:sz w:val="24"/>
                <w:szCs w:val="24"/>
              </w:rPr>
            </w:pPr>
          </w:p>
        </w:tc>
        <w:tc>
          <w:tcPr>
            <w:tcW w:w="0" w:type="auto"/>
          </w:tcPr>
          <w:p w14:paraId="2B278E25" w14:textId="77777777" w:rsidR="002975F4" w:rsidRDefault="002975F4">
            <w:pPr>
              <w:rPr>
                <w:rFonts w:asciiTheme="majorHAnsi" w:hAnsiTheme="majorHAnsi" w:cstheme="majorHAnsi"/>
                <w:sz w:val="24"/>
                <w:szCs w:val="24"/>
              </w:rPr>
            </w:pPr>
          </w:p>
        </w:tc>
        <w:tc>
          <w:tcPr>
            <w:tcW w:w="2414" w:type="dxa"/>
          </w:tcPr>
          <w:p w14:paraId="2784E5DA" w14:textId="77777777" w:rsidR="002975F4" w:rsidRDefault="002975F4">
            <w:pPr>
              <w:rPr>
                <w:rFonts w:asciiTheme="majorHAnsi" w:hAnsiTheme="majorHAnsi" w:cstheme="majorHAnsi"/>
                <w:sz w:val="24"/>
                <w:szCs w:val="24"/>
              </w:rPr>
            </w:pPr>
          </w:p>
        </w:tc>
        <w:tc>
          <w:tcPr>
            <w:tcW w:w="2693" w:type="dxa"/>
          </w:tcPr>
          <w:p w14:paraId="3072AFD1" w14:textId="77777777" w:rsidR="002975F4" w:rsidRDefault="002975F4">
            <w:pPr>
              <w:rPr>
                <w:rFonts w:asciiTheme="majorHAnsi" w:hAnsiTheme="majorHAnsi" w:cstheme="majorHAnsi"/>
                <w:sz w:val="24"/>
                <w:szCs w:val="24"/>
              </w:rPr>
            </w:pPr>
          </w:p>
        </w:tc>
      </w:tr>
      <w:tr w:rsidR="002975F4" w14:paraId="58F0D2AD" w14:textId="77777777">
        <w:tc>
          <w:tcPr>
            <w:tcW w:w="0" w:type="auto"/>
          </w:tcPr>
          <w:p w14:paraId="4D2CCA04"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Mare(s)</w:t>
            </w:r>
          </w:p>
        </w:tc>
        <w:tc>
          <w:tcPr>
            <w:tcW w:w="0" w:type="auto"/>
          </w:tcPr>
          <w:p w14:paraId="4A4ED0F2" w14:textId="77777777" w:rsidR="002975F4" w:rsidRDefault="002975F4">
            <w:pPr>
              <w:rPr>
                <w:rFonts w:asciiTheme="majorHAnsi" w:hAnsiTheme="majorHAnsi" w:cstheme="majorHAnsi"/>
                <w:sz w:val="24"/>
                <w:szCs w:val="24"/>
              </w:rPr>
            </w:pPr>
          </w:p>
        </w:tc>
        <w:tc>
          <w:tcPr>
            <w:tcW w:w="0" w:type="auto"/>
          </w:tcPr>
          <w:p w14:paraId="4CB2B76B" w14:textId="77777777" w:rsidR="002975F4" w:rsidRDefault="002975F4">
            <w:pPr>
              <w:rPr>
                <w:rFonts w:asciiTheme="majorHAnsi" w:hAnsiTheme="majorHAnsi" w:cstheme="majorHAnsi"/>
                <w:sz w:val="24"/>
                <w:szCs w:val="24"/>
              </w:rPr>
            </w:pPr>
          </w:p>
        </w:tc>
        <w:tc>
          <w:tcPr>
            <w:tcW w:w="2414" w:type="dxa"/>
          </w:tcPr>
          <w:p w14:paraId="7F336619" w14:textId="77777777" w:rsidR="002975F4" w:rsidRDefault="002975F4">
            <w:pPr>
              <w:rPr>
                <w:rFonts w:asciiTheme="majorHAnsi" w:hAnsiTheme="majorHAnsi" w:cstheme="majorHAnsi"/>
                <w:sz w:val="24"/>
                <w:szCs w:val="24"/>
              </w:rPr>
            </w:pPr>
          </w:p>
        </w:tc>
        <w:tc>
          <w:tcPr>
            <w:tcW w:w="2693" w:type="dxa"/>
          </w:tcPr>
          <w:p w14:paraId="71E0D24D" w14:textId="77777777" w:rsidR="002975F4" w:rsidRDefault="002975F4">
            <w:pPr>
              <w:rPr>
                <w:rFonts w:asciiTheme="majorHAnsi" w:hAnsiTheme="majorHAnsi" w:cstheme="majorHAnsi"/>
                <w:sz w:val="24"/>
                <w:szCs w:val="24"/>
              </w:rPr>
            </w:pPr>
          </w:p>
        </w:tc>
      </w:tr>
      <w:tr w:rsidR="002975F4" w14:paraId="49E49088" w14:textId="77777777">
        <w:tc>
          <w:tcPr>
            <w:tcW w:w="0" w:type="auto"/>
          </w:tcPr>
          <w:p w14:paraId="29CF16AF"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Fossé(s)</w:t>
            </w:r>
          </w:p>
        </w:tc>
        <w:tc>
          <w:tcPr>
            <w:tcW w:w="0" w:type="auto"/>
          </w:tcPr>
          <w:p w14:paraId="08A5F744" w14:textId="77777777" w:rsidR="002975F4" w:rsidRDefault="002975F4">
            <w:pPr>
              <w:rPr>
                <w:rFonts w:asciiTheme="majorHAnsi" w:hAnsiTheme="majorHAnsi" w:cstheme="majorHAnsi"/>
                <w:sz w:val="24"/>
                <w:szCs w:val="24"/>
              </w:rPr>
            </w:pPr>
          </w:p>
        </w:tc>
        <w:tc>
          <w:tcPr>
            <w:tcW w:w="0" w:type="auto"/>
          </w:tcPr>
          <w:p w14:paraId="620BAE50" w14:textId="77777777" w:rsidR="002975F4" w:rsidRDefault="002975F4">
            <w:pPr>
              <w:rPr>
                <w:rFonts w:asciiTheme="majorHAnsi" w:hAnsiTheme="majorHAnsi" w:cstheme="majorHAnsi"/>
                <w:sz w:val="24"/>
                <w:szCs w:val="24"/>
              </w:rPr>
            </w:pPr>
          </w:p>
        </w:tc>
        <w:tc>
          <w:tcPr>
            <w:tcW w:w="2414" w:type="dxa"/>
          </w:tcPr>
          <w:p w14:paraId="752B1F42" w14:textId="77777777" w:rsidR="002975F4" w:rsidRDefault="002975F4">
            <w:pPr>
              <w:rPr>
                <w:rFonts w:asciiTheme="majorHAnsi" w:hAnsiTheme="majorHAnsi" w:cstheme="majorHAnsi"/>
                <w:sz w:val="24"/>
                <w:szCs w:val="24"/>
              </w:rPr>
            </w:pPr>
          </w:p>
        </w:tc>
        <w:tc>
          <w:tcPr>
            <w:tcW w:w="2693" w:type="dxa"/>
          </w:tcPr>
          <w:p w14:paraId="125B0BE8" w14:textId="77777777" w:rsidR="002975F4" w:rsidRDefault="002975F4">
            <w:pPr>
              <w:rPr>
                <w:rFonts w:asciiTheme="majorHAnsi" w:hAnsiTheme="majorHAnsi" w:cstheme="majorHAnsi"/>
                <w:sz w:val="24"/>
                <w:szCs w:val="24"/>
              </w:rPr>
            </w:pPr>
          </w:p>
        </w:tc>
      </w:tr>
      <w:tr w:rsidR="002975F4" w14:paraId="324C7653" w14:textId="77777777">
        <w:tc>
          <w:tcPr>
            <w:tcW w:w="0" w:type="auto"/>
          </w:tcPr>
          <w:p w14:paraId="608995A9"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Pierrier(s)</w:t>
            </w:r>
          </w:p>
        </w:tc>
        <w:tc>
          <w:tcPr>
            <w:tcW w:w="0" w:type="auto"/>
          </w:tcPr>
          <w:p w14:paraId="193F4F96" w14:textId="77777777" w:rsidR="002975F4" w:rsidRDefault="002975F4">
            <w:pPr>
              <w:rPr>
                <w:rFonts w:asciiTheme="majorHAnsi" w:hAnsiTheme="majorHAnsi" w:cstheme="majorHAnsi"/>
                <w:sz w:val="24"/>
                <w:szCs w:val="24"/>
              </w:rPr>
            </w:pPr>
          </w:p>
        </w:tc>
        <w:tc>
          <w:tcPr>
            <w:tcW w:w="0" w:type="auto"/>
          </w:tcPr>
          <w:p w14:paraId="2CDCE324" w14:textId="77777777" w:rsidR="002975F4" w:rsidRDefault="002975F4">
            <w:pPr>
              <w:rPr>
                <w:rFonts w:asciiTheme="majorHAnsi" w:hAnsiTheme="majorHAnsi" w:cstheme="majorHAnsi"/>
                <w:sz w:val="24"/>
                <w:szCs w:val="24"/>
              </w:rPr>
            </w:pPr>
          </w:p>
        </w:tc>
        <w:tc>
          <w:tcPr>
            <w:tcW w:w="2414" w:type="dxa"/>
          </w:tcPr>
          <w:p w14:paraId="3102B804" w14:textId="77777777" w:rsidR="002975F4" w:rsidRDefault="002975F4">
            <w:pPr>
              <w:rPr>
                <w:rFonts w:asciiTheme="majorHAnsi" w:hAnsiTheme="majorHAnsi" w:cstheme="majorHAnsi"/>
                <w:sz w:val="24"/>
                <w:szCs w:val="24"/>
              </w:rPr>
            </w:pPr>
          </w:p>
        </w:tc>
        <w:tc>
          <w:tcPr>
            <w:tcW w:w="2693" w:type="dxa"/>
          </w:tcPr>
          <w:p w14:paraId="505A466C" w14:textId="77777777" w:rsidR="002975F4" w:rsidRDefault="002975F4">
            <w:pPr>
              <w:rPr>
                <w:rFonts w:asciiTheme="majorHAnsi" w:hAnsiTheme="majorHAnsi" w:cstheme="majorHAnsi"/>
                <w:sz w:val="24"/>
                <w:szCs w:val="24"/>
              </w:rPr>
            </w:pPr>
          </w:p>
        </w:tc>
      </w:tr>
      <w:tr w:rsidR="002975F4" w14:paraId="681C776D" w14:textId="77777777">
        <w:tc>
          <w:tcPr>
            <w:tcW w:w="0" w:type="auto"/>
          </w:tcPr>
          <w:p w14:paraId="3A6426DE"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Talus</w:t>
            </w:r>
          </w:p>
        </w:tc>
        <w:tc>
          <w:tcPr>
            <w:tcW w:w="0" w:type="auto"/>
          </w:tcPr>
          <w:p w14:paraId="2F33EEE3" w14:textId="77777777" w:rsidR="002975F4" w:rsidRDefault="002975F4">
            <w:pPr>
              <w:rPr>
                <w:rFonts w:asciiTheme="majorHAnsi" w:hAnsiTheme="majorHAnsi" w:cstheme="majorHAnsi"/>
                <w:sz w:val="24"/>
                <w:szCs w:val="24"/>
              </w:rPr>
            </w:pPr>
          </w:p>
        </w:tc>
        <w:tc>
          <w:tcPr>
            <w:tcW w:w="0" w:type="auto"/>
          </w:tcPr>
          <w:p w14:paraId="766044F1" w14:textId="77777777" w:rsidR="002975F4" w:rsidRDefault="002975F4">
            <w:pPr>
              <w:rPr>
                <w:rFonts w:asciiTheme="majorHAnsi" w:hAnsiTheme="majorHAnsi" w:cstheme="majorHAnsi"/>
                <w:sz w:val="24"/>
                <w:szCs w:val="24"/>
              </w:rPr>
            </w:pPr>
          </w:p>
        </w:tc>
        <w:tc>
          <w:tcPr>
            <w:tcW w:w="2414" w:type="dxa"/>
          </w:tcPr>
          <w:p w14:paraId="6641C084" w14:textId="77777777" w:rsidR="002975F4" w:rsidRDefault="002975F4">
            <w:pPr>
              <w:rPr>
                <w:rFonts w:asciiTheme="majorHAnsi" w:hAnsiTheme="majorHAnsi" w:cstheme="majorHAnsi"/>
                <w:sz w:val="24"/>
                <w:szCs w:val="24"/>
              </w:rPr>
            </w:pPr>
          </w:p>
        </w:tc>
        <w:tc>
          <w:tcPr>
            <w:tcW w:w="2693" w:type="dxa"/>
          </w:tcPr>
          <w:p w14:paraId="0383889C" w14:textId="77777777" w:rsidR="002975F4" w:rsidRDefault="002975F4">
            <w:pPr>
              <w:rPr>
                <w:rFonts w:asciiTheme="majorHAnsi" w:hAnsiTheme="majorHAnsi" w:cstheme="majorHAnsi"/>
                <w:sz w:val="24"/>
                <w:szCs w:val="24"/>
              </w:rPr>
            </w:pPr>
          </w:p>
        </w:tc>
      </w:tr>
      <w:tr w:rsidR="002975F4" w14:paraId="791CBE39" w14:textId="77777777">
        <w:tc>
          <w:tcPr>
            <w:tcW w:w="0" w:type="auto"/>
          </w:tcPr>
          <w:p w14:paraId="271E77A0"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Zone(s) humide(s)</w:t>
            </w:r>
          </w:p>
        </w:tc>
        <w:tc>
          <w:tcPr>
            <w:tcW w:w="0" w:type="auto"/>
          </w:tcPr>
          <w:p w14:paraId="56E00599" w14:textId="77777777" w:rsidR="002975F4" w:rsidRDefault="002975F4">
            <w:pPr>
              <w:rPr>
                <w:rFonts w:asciiTheme="majorHAnsi" w:hAnsiTheme="majorHAnsi" w:cstheme="majorHAnsi"/>
                <w:sz w:val="24"/>
                <w:szCs w:val="24"/>
              </w:rPr>
            </w:pPr>
          </w:p>
        </w:tc>
        <w:tc>
          <w:tcPr>
            <w:tcW w:w="0" w:type="auto"/>
          </w:tcPr>
          <w:p w14:paraId="6B439B91" w14:textId="77777777" w:rsidR="002975F4" w:rsidRDefault="002975F4">
            <w:pPr>
              <w:rPr>
                <w:rFonts w:asciiTheme="majorHAnsi" w:hAnsiTheme="majorHAnsi" w:cstheme="majorHAnsi"/>
                <w:sz w:val="24"/>
                <w:szCs w:val="24"/>
              </w:rPr>
            </w:pPr>
          </w:p>
        </w:tc>
        <w:tc>
          <w:tcPr>
            <w:tcW w:w="2414" w:type="dxa"/>
          </w:tcPr>
          <w:p w14:paraId="1BB3F37A" w14:textId="77777777" w:rsidR="002975F4" w:rsidRDefault="002975F4">
            <w:pPr>
              <w:rPr>
                <w:rFonts w:asciiTheme="majorHAnsi" w:hAnsiTheme="majorHAnsi" w:cstheme="majorHAnsi"/>
                <w:sz w:val="24"/>
                <w:szCs w:val="24"/>
              </w:rPr>
            </w:pPr>
          </w:p>
        </w:tc>
        <w:tc>
          <w:tcPr>
            <w:tcW w:w="2693" w:type="dxa"/>
          </w:tcPr>
          <w:p w14:paraId="61905514" w14:textId="77777777" w:rsidR="002975F4" w:rsidRDefault="002975F4">
            <w:pPr>
              <w:rPr>
                <w:rFonts w:asciiTheme="majorHAnsi" w:hAnsiTheme="majorHAnsi" w:cstheme="majorHAnsi"/>
                <w:sz w:val="24"/>
                <w:szCs w:val="24"/>
              </w:rPr>
            </w:pPr>
          </w:p>
        </w:tc>
      </w:tr>
      <w:tr w:rsidR="002975F4" w14:paraId="02F45BC1" w14:textId="77777777">
        <w:tc>
          <w:tcPr>
            <w:tcW w:w="0" w:type="auto"/>
          </w:tcPr>
          <w:p w14:paraId="5EBA885E"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 xml:space="preserve">Cordon(s) rivulaire(s) </w:t>
            </w:r>
          </w:p>
        </w:tc>
        <w:tc>
          <w:tcPr>
            <w:tcW w:w="0" w:type="auto"/>
          </w:tcPr>
          <w:p w14:paraId="350E5B23" w14:textId="77777777" w:rsidR="002975F4" w:rsidRDefault="002975F4">
            <w:pPr>
              <w:rPr>
                <w:rFonts w:asciiTheme="majorHAnsi" w:hAnsiTheme="majorHAnsi" w:cstheme="majorHAnsi"/>
                <w:sz w:val="24"/>
                <w:szCs w:val="24"/>
              </w:rPr>
            </w:pPr>
          </w:p>
        </w:tc>
        <w:tc>
          <w:tcPr>
            <w:tcW w:w="0" w:type="auto"/>
          </w:tcPr>
          <w:p w14:paraId="02CB1128" w14:textId="77777777" w:rsidR="002975F4" w:rsidRDefault="002975F4">
            <w:pPr>
              <w:rPr>
                <w:rFonts w:asciiTheme="majorHAnsi" w:hAnsiTheme="majorHAnsi" w:cstheme="majorHAnsi"/>
                <w:sz w:val="24"/>
                <w:szCs w:val="24"/>
              </w:rPr>
            </w:pPr>
          </w:p>
        </w:tc>
        <w:tc>
          <w:tcPr>
            <w:tcW w:w="2414" w:type="dxa"/>
          </w:tcPr>
          <w:p w14:paraId="435DCAED" w14:textId="77777777" w:rsidR="002975F4" w:rsidRDefault="002975F4">
            <w:pPr>
              <w:rPr>
                <w:rFonts w:asciiTheme="majorHAnsi" w:hAnsiTheme="majorHAnsi" w:cstheme="majorHAnsi"/>
                <w:sz w:val="24"/>
                <w:szCs w:val="24"/>
              </w:rPr>
            </w:pPr>
          </w:p>
        </w:tc>
        <w:tc>
          <w:tcPr>
            <w:tcW w:w="2693" w:type="dxa"/>
          </w:tcPr>
          <w:p w14:paraId="003EC410" w14:textId="77777777" w:rsidR="002975F4" w:rsidRDefault="002975F4">
            <w:pPr>
              <w:rPr>
                <w:rFonts w:asciiTheme="majorHAnsi" w:hAnsiTheme="majorHAnsi" w:cstheme="majorHAnsi"/>
                <w:sz w:val="24"/>
                <w:szCs w:val="24"/>
              </w:rPr>
            </w:pPr>
          </w:p>
        </w:tc>
      </w:tr>
      <w:tr w:rsidR="002975F4" w14:paraId="13F041D5" w14:textId="77777777">
        <w:tc>
          <w:tcPr>
            <w:tcW w:w="0" w:type="auto"/>
          </w:tcPr>
          <w:p w14:paraId="7370A898"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w:t>
            </w:r>
          </w:p>
        </w:tc>
        <w:tc>
          <w:tcPr>
            <w:tcW w:w="0" w:type="auto"/>
          </w:tcPr>
          <w:p w14:paraId="4400C13F" w14:textId="77777777" w:rsidR="002975F4" w:rsidRDefault="002975F4">
            <w:pPr>
              <w:rPr>
                <w:rFonts w:asciiTheme="majorHAnsi" w:hAnsiTheme="majorHAnsi" w:cstheme="majorHAnsi"/>
                <w:sz w:val="24"/>
                <w:szCs w:val="24"/>
              </w:rPr>
            </w:pPr>
          </w:p>
        </w:tc>
        <w:tc>
          <w:tcPr>
            <w:tcW w:w="0" w:type="auto"/>
          </w:tcPr>
          <w:p w14:paraId="6C027968" w14:textId="77777777" w:rsidR="002975F4" w:rsidRDefault="002975F4">
            <w:pPr>
              <w:rPr>
                <w:rFonts w:asciiTheme="majorHAnsi" w:hAnsiTheme="majorHAnsi" w:cstheme="majorHAnsi"/>
                <w:sz w:val="24"/>
                <w:szCs w:val="24"/>
              </w:rPr>
            </w:pPr>
          </w:p>
        </w:tc>
        <w:tc>
          <w:tcPr>
            <w:tcW w:w="2414" w:type="dxa"/>
          </w:tcPr>
          <w:p w14:paraId="35F87DB9" w14:textId="77777777" w:rsidR="002975F4" w:rsidRDefault="002975F4">
            <w:pPr>
              <w:rPr>
                <w:rFonts w:asciiTheme="majorHAnsi" w:hAnsiTheme="majorHAnsi" w:cstheme="majorHAnsi"/>
                <w:sz w:val="24"/>
                <w:szCs w:val="24"/>
              </w:rPr>
            </w:pPr>
          </w:p>
        </w:tc>
        <w:tc>
          <w:tcPr>
            <w:tcW w:w="2693" w:type="dxa"/>
          </w:tcPr>
          <w:p w14:paraId="18FBEE43" w14:textId="77777777" w:rsidR="002975F4" w:rsidRDefault="002975F4">
            <w:pPr>
              <w:rPr>
                <w:rFonts w:asciiTheme="majorHAnsi" w:hAnsiTheme="majorHAnsi" w:cstheme="majorHAnsi"/>
                <w:sz w:val="24"/>
                <w:szCs w:val="24"/>
              </w:rPr>
            </w:pPr>
          </w:p>
        </w:tc>
      </w:tr>
      <w:tr w:rsidR="002975F4" w14:paraId="669040F9" w14:textId="77777777">
        <w:tc>
          <w:tcPr>
            <w:tcW w:w="0" w:type="auto"/>
          </w:tcPr>
          <w:p w14:paraId="031A326B"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Particularité(s)</w:t>
            </w:r>
          </w:p>
        </w:tc>
        <w:tc>
          <w:tcPr>
            <w:tcW w:w="0" w:type="auto"/>
          </w:tcPr>
          <w:p w14:paraId="1F0CE287" w14:textId="77777777" w:rsidR="002975F4" w:rsidRDefault="002975F4">
            <w:pPr>
              <w:rPr>
                <w:rFonts w:asciiTheme="majorHAnsi" w:hAnsiTheme="majorHAnsi" w:cstheme="majorHAnsi"/>
                <w:sz w:val="24"/>
                <w:szCs w:val="24"/>
              </w:rPr>
            </w:pPr>
          </w:p>
        </w:tc>
        <w:tc>
          <w:tcPr>
            <w:tcW w:w="0" w:type="auto"/>
          </w:tcPr>
          <w:p w14:paraId="4C5B1C9A" w14:textId="77777777" w:rsidR="002975F4" w:rsidRDefault="002975F4">
            <w:pPr>
              <w:rPr>
                <w:rFonts w:asciiTheme="majorHAnsi" w:hAnsiTheme="majorHAnsi" w:cstheme="majorHAnsi"/>
                <w:sz w:val="24"/>
                <w:szCs w:val="24"/>
              </w:rPr>
            </w:pPr>
          </w:p>
        </w:tc>
        <w:tc>
          <w:tcPr>
            <w:tcW w:w="2414" w:type="dxa"/>
          </w:tcPr>
          <w:p w14:paraId="5E651C55" w14:textId="77777777" w:rsidR="002975F4" w:rsidRDefault="002975F4">
            <w:pPr>
              <w:rPr>
                <w:rFonts w:asciiTheme="majorHAnsi" w:hAnsiTheme="majorHAnsi" w:cstheme="majorHAnsi"/>
                <w:sz w:val="24"/>
                <w:szCs w:val="24"/>
              </w:rPr>
            </w:pPr>
          </w:p>
        </w:tc>
        <w:tc>
          <w:tcPr>
            <w:tcW w:w="2693" w:type="dxa"/>
          </w:tcPr>
          <w:p w14:paraId="67FCC14B" w14:textId="77777777" w:rsidR="002975F4" w:rsidRDefault="002975F4">
            <w:pPr>
              <w:rPr>
                <w:rFonts w:asciiTheme="majorHAnsi" w:hAnsiTheme="majorHAnsi" w:cstheme="majorHAnsi"/>
                <w:sz w:val="24"/>
                <w:szCs w:val="24"/>
              </w:rPr>
            </w:pPr>
          </w:p>
        </w:tc>
      </w:tr>
    </w:tbl>
    <w:p w14:paraId="47196B6B" w14:textId="77777777" w:rsidR="002975F4" w:rsidRDefault="002975F4">
      <w:pPr>
        <w:rPr>
          <w:rFonts w:asciiTheme="majorHAnsi" w:hAnsiTheme="majorHAnsi" w:cstheme="majorHAnsi"/>
          <w:sz w:val="24"/>
          <w:szCs w:val="24"/>
        </w:rPr>
      </w:pPr>
    </w:p>
    <w:p w14:paraId="353AD558"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Equipement artificiels</w:t>
      </w:r>
    </w:p>
    <w:tbl>
      <w:tblPr>
        <w:tblStyle w:val="Grilledutableau"/>
        <w:tblW w:w="10348" w:type="dxa"/>
        <w:tblInd w:w="-572" w:type="dxa"/>
        <w:tblLook w:val="04A0" w:firstRow="1" w:lastRow="0" w:firstColumn="1" w:lastColumn="0" w:noHBand="0" w:noVBand="1"/>
      </w:tblPr>
      <w:tblGrid>
        <w:gridCol w:w="1701"/>
        <w:gridCol w:w="1185"/>
        <w:gridCol w:w="1011"/>
        <w:gridCol w:w="2412"/>
        <w:gridCol w:w="2691"/>
        <w:gridCol w:w="1348"/>
      </w:tblGrid>
      <w:tr w:rsidR="002975F4" w14:paraId="332CD598" w14:textId="77777777">
        <w:tc>
          <w:tcPr>
            <w:tcW w:w="1701" w:type="dxa"/>
            <w:shd w:val="clear" w:color="auto" w:fill="E7E6E6" w:themeFill="background2"/>
            <w:vAlign w:val="center"/>
          </w:tcPr>
          <w:p w14:paraId="2D1752E8"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Eléments du paysage</w:t>
            </w:r>
          </w:p>
        </w:tc>
        <w:tc>
          <w:tcPr>
            <w:tcW w:w="1185" w:type="dxa"/>
            <w:shd w:val="clear" w:color="auto" w:fill="E7E6E6" w:themeFill="background2"/>
            <w:vAlign w:val="center"/>
          </w:tcPr>
          <w:p w14:paraId="72D46220"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Présence (Oui/Non)</w:t>
            </w:r>
          </w:p>
        </w:tc>
        <w:tc>
          <w:tcPr>
            <w:tcW w:w="0" w:type="auto"/>
            <w:shd w:val="clear" w:color="auto" w:fill="E7E6E6" w:themeFill="background2"/>
            <w:vAlign w:val="center"/>
          </w:tcPr>
          <w:p w14:paraId="58C54947"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Nombre</w:t>
            </w:r>
          </w:p>
        </w:tc>
        <w:tc>
          <w:tcPr>
            <w:tcW w:w="2414" w:type="dxa"/>
            <w:shd w:val="clear" w:color="auto" w:fill="E7E6E6" w:themeFill="background2"/>
            <w:vAlign w:val="center"/>
          </w:tcPr>
          <w:p w14:paraId="2399191D"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Localisation (section et numéro de la parcelle)</w:t>
            </w:r>
          </w:p>
        </w:tc>
        <w:tc>
          <w:tcPr>
            <w:tcW w:w="2693" w:type="dxa"/>
            <w:shd w:val="clear" w:color="auto" w:fill="E7E6E6" w:themeFill="background2"/>
            <w:vAlign w:val="center"/>
          </w:tcPr>
          <w:p w14:paraId="43652BBA"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Description</w:t>
            </w:r>
          </w:p>
        </w:tc>
        <w:tc>
          <w:tcPr>
            <w:tcW w:w="1348" w:type="dxa"/>
            <w:shd w:val="clear" w:color="auto" w:fill="E7E6E6" w:themeFill="background2"/>
          </w:tcPr>
          <w:p w14:paraId="1B4B4F45" w14:textId="77777777" w:rsidR="002975F4" w:rsidRDefault="00000000">
            <w:pPr>
              <w:jc w:val="center"/>
              <w:rPr>
                <w:rFonts w:asciiTheme="majorHAnsi" w:hAnsiTheme="majorHAnsi" w:cstheme="majorHAnsi"/>
                <w:sz w:val="24"/>
                <w:szCs w:val="24"/>
              </w:rPr>
            </w:pPr>
            <w:r>
              <w:rPr>
                <w:rFonts w:asciiTheme="majorHAnsi" w:hAnsiTheme="majorHAnsi" w:cstheme="majorHAnsi"/>
                <w:sz w:val="24"/>
                <w:szCs w:val="24"/>
              </w:rPr>
              <w:t xml:space="preserve">État général d’entretien </w:t>
            </w:r>
          </w:p>
        </w:tc>
      </w:tr>
      <w:tr w:rsidR="002975F4" w14:paraId="058DC355" w14:textId="77777777">
        <w:tc>
          <w:tcPr>
            <w:tcW w:w="1701" w:type="dxa"/>
          </w:tcPr>
          <w:p w14:paraId="5A0B05A7"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Abreuvoir(s)</w:t>
            </w:r>
          </w:p>
        </w:tc>
        <w:tc>
          <w:tcPr>
            <w:tcW w:w="1185" w:type="dxa"/>
          </w:tcPr>
          <w:p w14:paraId="73E4C4E9" w14:textId="77777777" w:rsidR="002975F4" w:rsidRDefault="002975F4">
            <w:pPr>
              <w:rPr>
                <w:rFonts w:asciiTheme="majorHAnsi" w:hAnsiTheme="majorHAnsi" w:cstheme="majorHAnsi"/>
                <w:sz w:val="24"/>
                <w:szCs w:val="24"/>
              </w:rPr>
            </w:pPr>
          </w:p>
        </w:tc>
        <w:tc>
          <w:tcPr>
            <w:tcW w:w="0" w:type="auto"/>
          </w:tcPr>
          <w:p w14:paraId="2A631868" w14:textId="77777777" w:rsidR="002975F4" w:rsidRDefault="002975F4">
            <w:pPr>
              <w:rPr>
                <w:rFonts w:asciiTheme="majorHAnsi" w:hAnsiTheme="majorHAnsi" w:cstheme="majorHAnsi"/>
                <w:sz w:val="24"/>
                <w:szCs w:val="24"/>
              </w:rPr>
            </w:pPr>
          </w:p>
        </w:tc>
        <w:tc>
          <w:tcPr>
            <w:tcW w:w="2414" w:type="dxa"/>
          </w:tcPr>
          <w:p w14:paraId="36AC07B4" w14:textId="77777777" w:rsidR="002975F4" w:rsidRDefault="002975F4">
            <w:pPr>
              <w:rPr>
                <w:rFonts w:asciiTheme="majorHAnsi" w:hAnsiTheme="majorHAnsi" w:cstheme="majorHAnsi"/>
                <w:sz w:val="24"/>
                <w:szCs w:val="24"/>
              </w:rPr>
            </w:pPr>
          </w:p>
        </w:tc>
        <w:tc>
          <w:tcPr>
            <w:tcW w:w="2693" w:type="dxa"/>
          </w:tcPr>
          <w:p w14:paraId="00B04788" w14:textId="77777777" w:rsidR="002975F4" w:rsidRDefault="002975F4">
            <w:pPr>
              <w:rPr>
                <w:rFonts w:asciiTheme="majorHAnsi" w:hAnsiTheme="majorHAnsi" w:cstheme="majorHAnsi"/>
                <w:sz w:val="24"/>
                <w:szCs w:val="24"/>
              </w:rPr>
            </w:pPr>
          </w:p>
        </w:tc>
        <w:tc>
          <w:tcPr>
            <w:tcW w:w="1348" w:type="dxa"/>
          </w:tcPr>
          <w:p w14:paraId="05B4D64C" w14:textId="77777777" w:rsidR="002975F4" w:rsidRDefault="002975F4">
            <w:pPr>
              <w:rPr>
                <w:rFonts w:asciiTheme="majorHAnsi" w:hAnsiTheme="majorHAnsi" w:cstheme="majorHAnsi"/>
                <w:sz w:val="24"/>
                <w:szCs w:val="24"/>
              </w:rPr>
            </w:pPr>
          </w:p>
        </w:tc>
      </w:tr>
      <w:tr w:rsidR="002975F4" w14:paraId="6AC1BE7C" w14:textId="77777777">
        <w:tc>
          <w:tcPr>
            <w:tcW w:w="1701" w:type="dxa"/>
          </w:tcPr>
          <w:p w14:paraId="2A8B48D0"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Abri(s)</w:t>
            </w:r>
          </w:p>
        </w:tc>
        <w:tc>
          <w:tcPr>
            <w:tcW w:w="1185" w:type="dxa"/>
          </w:tcPr>
          <w:p w14:paraId="3C751F38" w14:textId="77777777" w:rsidR="002975F4" w:rsidRDefault="002975F4">
            <w:pPr>
              <w:rPr>
                <w:rFonts w:asciiTheme="majorHAnsi" w:hAnsiTheme="majorHAnsi" w:cstheme="majorHAnsi"/>
                <w:sz w:val="24"/>
                <w:szCs w:val="24"/>
              </w:rPr>
            </w:pPr>
          </w:p>
        </w:tc>
        <w:tc>
          <w:tcPr>
            <w:tcW w:w="0" w:type="auto"/>
          </w:tcPr>
          <w:p w14:paraId="743B6C93" w14:textId="77777777" w:rsidR="002975F4" w:rsidRDefault="002975F4">
            <w:pPr>
              <w:rPr>
                <w:rFonts w:asciiTheme="majorHAnsi" w:hAnsiTheme="majorHAnsi" w:cstheme="majorHAnsi"/>
                <w:sz w:val="24"/>
                <w:szCs w:val="24"/>
              </w:rPr>
            </w:pPr>
          </w:p>
        </w:tc>
        <w:tc>
          <w:tcPr>
            <w:tcW w:w="2414" w:type="dxa"/>
          </w:tcPr>
          <w:p w14:paraId="26C13D50" w14:textId="77777777" w:rsidR="002975F4" w:rsidRDefault="002975F4">
            <w:pPr>
              <w:rPr>
                <w:rFonts w:asciiTheme="majorHAnsi" w:hAnsiTheme="majorHAnsi" w:cstheme="majorHAnsi"/>
                <w:sz w:val="24"/>
                <w:szCs w:val="24"/>
              </w:rPr>
            </w:pPr>
          </w:p>
        </w:tc>
        <w:tc>
          <w:tcPr>
            <w:tcW w:w="2693" w:type="dxa"/>
          </w:tcPr>
          <w:p w14:paraId="5E59EDEB" w14:textId="77777777" w:rsidR="002975F4" w:rsidRDefault="002975F4">
            <w:pPr>
              <w:rPr>
                <w:rFonts w:asciiTheme="majorHAnsi" w:hAnsiTheme="majorHAnsi" w:cstheme="majorHAnsi"/>
                <w:sz w:val="24"/>
                <w:szCs w:val="24"/>
              </w:rPr>
            </w:pPr>
          </w:p>
        </w:tc>
        <w:tc>
          <w:tcPr>
            <w:tcW w:w="1348" w:type="dxa"/>
          </w:tcPr>
          <w:p w14:paraId="3B0931A1" w14:textId="77777777" w:rsidR="002975F4" w:rsidRDefault="002975F4">
            <w:pPr>
              <w:rPr>
                <w:rFonts w:asciiTheme="majorHAnsi" w:hAnsiTheme="majorHAnsi" w:cstheme="majorHAnsi"/>
                <w:sz w:val="24"/>
                <w:szCs w:val="24"/>
              </w:rPr>
            </w:pPr>
          </w:p>
        </w:tc>
      </w:tr>
      <w:tr w:rsidR="002975F4" w14:paraId="6D1EBE71" w14:textId="77777777">
        <w:tc>
          <w:tcPr>
            <w:tcW w:w="1701" w:type="dxa"/>
          </w:tcPr>
          <w:p w14:paraId="25B58273"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Clôture(s)</w:t>
            </w:r>
          </w:p>
        </w:tc>
        <w:tc>
          <w:tcPr>
            <w:tcW w:w="1185" w:type="dxa"/>
          </w:tcPr>
          <w:p w14:paraId="3F5A42BB" w14:textId="77777777" w:rsidR="002975F4" w:rsidRDefault="002975F4">
            <w:pPr>
              <w:rPr>
                <w:rFonts w:asciiTheme="majorHAnsi" w:hAnsiTheme="majorHAnsi" w:cstheme="majorHAnsi"/>
                <w:sz w:val="24"/>
                <w:szCs w:val="24"/>
              </w:rPr>
            </w:pPr>
          </w:p>
        </w:tc>
        <w:tc>
          <w:tcPr>
            <w:tcW w:w="0" w:type="auto"/>
          </w:tcPr>
          <w:p w14:paraId="04BEC851" w14:textId="77777777" w:rsidR="002975F4" w:rsidRDefault="002975F4">
            <w:pPr>
              <w:rPr>
                <w:rFonts w:asciiTheme="majorHAnsi" w:hAnsiTheme="majorHAnsi" w:cstheme="majorHAnsi"/>
                <w:sz w:val="24"/>
                <w:szCs w:val="24"/>
              </w:rPr>
            </w:pPr>
          </w:p>
        </w:tc>
        <w:tc>
          <w:tcPr>
            <w:tcW w:w="2414" w:type="dxa"/>
          </w:tcPr>
          <w:p w14:paraId="261790BD" w14:textId="77777777" w:rsidR="002975F4" w:rsidRDefault="002975F4">
            <w:pPr>
              <w:rPr>
                <w:rFonts w:asciiTheme="majorHAnsi" w:hAnsiTheme="majorHAnsi" w:cstheme="majorHAnsi"/>
                <w:sz w:val="24"/>
                <w:szCs w:val="24"/>
              </w:rPr>
            </w:pPr>
          </w:p>
        </w:tc>
        <w:tc>
          <w:tcPr>
            <w:tcW w:w="2693" w:type="dxa"/>
          </w:tcPr>
          <w:p w14:paraId="711856CF" w14:textId="77777777" w:rsidR="002975F4" w:rsidRDefault="002975F4">
            <w:pPr>
              <w:rPr>
                <w:rFonts w:asciiTheme="majorHAnsi" w:hAnsiTheme="majorHAnsi" w:cstheme="majorHAnsi"/>
                <w:sz w:val="24"/>
                <w:szCs w:val="24"/>
              </w:rPr>
            </w:pPr>
          </w:p>
        </w:tc>
        <w:tc>
          <w:tcPr>
            <w:tcW w:w="1348" w:type="dxa"/>
          </w:tcPr>
          <w:p w14:paraId="4DC72D39" w14:textId="77777777" w:rsidR="002975F4" w:rsidRDefault="002975F4">
            <w:pPr>
              <w:rPr>
                <w:rFonts w:asciiTheme="majorHAnsi" w:hAnsiTheme="majorHAnsi" w:cstheme="majorHAnsi"/>
                <w:sz w:val="24"/>
                <w:szCs w:val="24"/>
              </w:rPr>
            </w:pPr>
          </w:p>
        </w:tc>
      </w:tr>
      <w:tr w:rsidR="002975F4" w14:paraId="7FC2F8AB" w14:textId="77777777">
        <w:tc>
          <w:tcPr>
            <w:tcW w:w="1701" w:type="dxa"/>
          </w:tcPr>
          <w:p w14:paraId="4F7CF3FB"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Drain(s)</w:t>
            </w:r>
          </w:p>
        </w:tc>
        <w:tc>
          <w:tcPr>
            <w:tcW w:w="1185" w:type="dxa"/>
          </w:tcPr>
          <w:p w14:paraId="07A8B2A3" w14:textId="77777777" w:rsidR="002975F4" w:rsidRDefault="002975F4">
            <w:pPr>
              <w:rPr>
                <w:rFonts w:asciiTheme="majorHAnsi" w:hAnsiTheme="majorHAnsi" w:cstheme="majorHAnsi"/>
                <w:sz w:val="24"/>
                <w:szCs w:val="24"/>
              </w:rPr>
            </w:pPr>
          </w:p>
        </w:tc>
        <w:tc>
          <w:tcPr>
            <w:tcW w:w="0" w:type="auto"/>
          </w:tcPr>
          <w:p w14:paraId="6DD9D182" w14:textId="77777777" w:rsidR="002975F4" w:rsidRDefault="002975F4">
            <w:pPr>
              <w:rPr>
                <w:rFonts w:asciiTheme="majorHAnsi" w:hAnsiTheme="majorHAnsi" w:cstheme="majorHAnsi"/>
                <w:sz w:val="24"/>
                <w:szCs w:val="24"/>
              </w:rPr>
            </w:pPr>
          </w:p>
        </w:tc>
        <w:tc>
          <w:tcPr>
            <w:tcW w:w="2414" w:type="dxa"/>
          </w:tcPr>
          <w:p w14:paraId="58474E34" w14:textId="77777777" w:rsidR="002975F4" w:rsidRDefault="002975F4">
            <w:pPr>
              <w:rPr>
                <w:rFonts w:asciiTheme="majorHAnsi" w:hAnsiTheme="majorHAnsi" w:cstheme="majorHAnsi"/>
                <w:sz w:val="24"/>
                <w:szCs w:val="24"/>
              </w:rPr>
            </w:pPr>
          </w:p>
        </w:tc>
        <w:tc>
          <w:tcPr>
            <w:tcW w:w="2693" w:type="dxa"/>
          </w:tcPr>
          <w:p w14:paraId="429002F9" w14:textId="77777777" w:rsidR="002975F4" w:rsidRDefault="002975F4">
            <w:pPr>
              <w:rPr>
                <w:rFonts w:asciiTheme="majorHAnsi" w:hAnsiTheme="majorHAnsi" w:cstheme="majorHAnsi"/>
                <w:sz w:val="24"/>
                <w:szCs w:val="24"/>
              </w:rPr>
            </w:pPr>
          </w:p>
        </w:tc>
        <w:tc>
          <w:tcPr>
            <w:tcW w:w="1348" w:type="dxa"/>
          </w:tcPr>
          <w:p w14:paraId="29CEDB62" w14:textId="77777777" w:rsidR="002975F4" w:rsidRDefault="002975F4">
            <w:pPr>
              <w:rPr>
                <w:rFonts w:asciiTheme="majorHAnsi" w:hAnsiTheme="majorHAnsi" w:cstheme="majorHAnsi"/>
                <w:sz w:val="24"/>
                <w:szCs w:val="24"/>
              </w:rPr>
            </w:pPr>
          </w:p>
        </w:tc>
      </w:tr>
      <w:tr w:rsidR="002975F4" w14:paraId="23BF53AB" w14:textId="77777777">
        <w:tc>
          <w:tcPr>
            <w:tcW w:w="1701" w:type="dxa"/>
          </w:tcPr>
          <w:p w14:paraId="75CAAF8E"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Muret(s)</w:t>
            </w:r>
          </w:p>
        </w:tc>
        <w:tc>
          <w:tcPr>
            <w:tcW w:w="1185" w:type="dxa"/>
          </w:tcPr>
          <w:p w14:paraId="7BBDC91A" w14:textId="77777777" w:rsidR="002975F4" w:rsidRDefault="002975F4">
            <w:pPr>
              <w:rPr>
                <w:rFonts w:asciiTheme="majorHAnsi" w:hAnsiTheme="majorHAnsi" w:cstheme="majorHAnsi"/>
                <w:sz w:val="24"/>
                <w:szCs w:val="24"/>
              </w:rPr>
            </w:pPr>
          </w:p>
        </w:tc>
        <w:tc>
          <w:tcPr>
            <w:tcW w:w="0" w:type="auto"/>
          </w:tcPr>
          <w:p w14:paraId="3AD8E7A7" w14:textId="77777777" w:rsidR="002975F4" w:rsidRDefault="002975F4">
            <w:pPr>
              <w:rPr>
                <w:rFonts w:asciiTheme="majorHAnsi" w:hAnsiTheme="majorHAnsi" w:cstheme="majorHAnsi"/>
                <w:sz w:val="24"/>
                <w:szCs w:val="24"/>
              </w:rPr>
            </w:pPr>
          </w:p>
        </w:tc>
        <w:tc>
          <w:tcPr>
            <w:tcW w:w="2414" w:type="dxa"/>
          </w:tcPr>
          <w:p w14:paraId="2E3BB93A" w14:textId="77777777" w:rsidR="002975F4" w:rsidRDefault="002975F4">
            <w:pPr>
              <w:rPr>
                <w:rFonts w:asciiTheme="majorHAnsi" w:hAnsiTheme="majorHAnsi" w:cstheme="majorHAnsi"/>
                <w:sz w:val="24"/>
                <w:szCs w:val="24"/>
              </w:rPr>
            </w:pPr>
          </w:p>
        </w:tc>
        <w:tc>
          <w:tcPr>
            <w:tcW w:w="2693" w:type="dxa"/>
          </w:tcPr>
          <w:p w14:paraId="443DAB74" w14:textId="77777777" w:rsidR="002975F4" w:rsidRDefault="002975F4">
            <w:pPr>
              <w:rPr>
                <w:rFonts w:asciiTheme="majorHAnsi" w:hAnsiTheme="majorHAnsi" w:cstheme="majorHAnsi"/>
                <w:sz w:val="24"/>
                <w:szCs w:val="24"/>
              </w:rPr>
            </w:pPr>
          </w:p>
        </w:tc>
        <w:tc>
          <w:tcPr>
            <w:tcW w:w="1348" w:type="dxa"/>
          </w:tcPr>
          <w:p w14:paraId="0CE762A0" w14:textId="77777777" w:rsidR="002975F4" w:rsidRDefault="002975F4">
            <w:pPr>
              <w:rPr>
                <w:rFonts w:asciiTheme="majorHAnsi" w:hAnsiTheme="majorHAnsi" w:cstheme="majorHAnsi"/>
                <w:sz w:val="24"/>
                <w:szCs w:val="24"/>
              </w:rPr>
            </w:pPr>
          </w:p>
        </w:tc>
      </w:tr>
      <w:tr w:rsidR="002975F4" w14:paraId="08D70266" w14:textId="77777777">
        <w:tc>
          <w:tcPr>
            <w:tcW w:w="1701" w:type="dxa"/>
          </w:tcPr>
          <w:p w14:paraId="7DF97BCB"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Prise(s) d’eau</w:t>
            </w:r>
          </w:p>
        </w:tc>
        <w:tc>
          <w:tcPr>
            <w:tcW w:w="1185" w:type="dxa"/>
          </w:tcPr>
          <w:p w14:paraId="670F0F2F" w14:textId="77777777" w:rsidR="002975F4" w:rsidRDefault="002975F4">
            <w:pPr>
              <w:rPr>
                <w:rFonts w:asciiTheme="majorHAnsi" w:hAnsiTheme="majorHAnsi" w:cstheme="majorHAnsi"/>
                <w:sz w:val="24"/>
                <w:szCs w:val="24"/>
              </w:rPr>
            </w:pPr>
          </w:p>
        </w:tc>
        <w:tc>
          <w:tcPr>
            <w:tcW w:w="0" w:type="auto"/>
          </w:tcPr>
          <w:p w14:paraId="47C66267" w14:textId="77777777" w:rsidR="002975F4" w:rsidRDefault="002975F4">
            <w:pPr>
              <w:rPr>
                <w:rFonts w:asciiTheme="majorHAnsi" w:hAnsiTheme="majorHAnsi" w:cstheme="majorHAnsi"/>
                <w:sz w:val="24"/>
                <w:szCs w:val="24"/>
              </w:rPr>
            </w:pPr>
          </w:p>
        </w:tc>
        <w:tc>
          <w:tcPr>
            <w:tcW w:w="2414" w:type="dxa"/>
          </w:tcPr>
          <w:p w14:paraId="20B9EB94" w14:textId="77777777" w:rsidR="002975F4" w:rsidRDefault="002975F4">
            <w:pPr>
              <w:rPr>
                <w:rFonts w:asciiTheme="majorHAnsi" w:hAnsiTheme="majorHAnsi" w:cstheme="majorHAnsi"/>
                <w:sz w:val="24"/>
                <w:szCs w:val="24"/>
              </w:rPr>
            </w:pPr>
          </w:p>
        </w:tc>
        <w:tc>
          <w:tcPr>
            <w:tcW w:w="2693" w:type="dxa"/>
          </w:tcPr>
          <w:p w14:paraId="178F3E4C" w14:textId="77777777" w:rsidR="002975F4" w:rsidRDefault="002975F4">
            <w:pPr>
              <w:rPr>
                <w:rFonts w:asciiTheme="majorHAnsi" w:hAnsiTheme="majorHAnsi" w:cstheme="majorHAnsi"/>
                <w:sz w:val="24"/>
                <w:szCs w:val="24"/>
              </w:rPr>
            </w:pPr>
          </w:p>
        </w:tc>
        <w:tc>
          <w:tcPr>
            <w:tcW w:w="1348" w:type="dxa"/>
          </w:tcPr>
          <w:p w14:paraId="6D559F8E" w14:textId="77777777" w:rsidR="002975F4" w:rsidRDefault="002975F4">
            <w:pPr>
              <w:rPr>
                <w:rFonts w:asciiTheme="majorHAnsi" w:hAnsiTheme="majorHAnsi" w:cstheme="majorHAnsi"/>
                <w:sz w:val="24"/>
                <w:szCs w:val="24"/>
              </w:rPr>
            </w:pPr>
          </w:p>
        </w:tc>
      </w:tr>
      <w:tr w:rsidR="002975F4" w14:paraId="53217EE4" w14:textId="77777777">
        <w:tc>
          <w:tcPr>
            <w:tcW w:w="1701" w:type="dxa"/>
          </w:tcPr>
          <w:p w14:paraId="3B83C79D"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w:t>
            </w:r>
          </w:p>
        </w:tc>
        <w:tc>
          <w:tcPr>
            <w:tcW w:w="1185" w:type="dxa"/>
          </w:tcPr>
          <w:p w14:paraId="498DB397" w14:textId="77777777" w:rsidR="002975F4" w:rsidRDefault="002975F4">
            <w:pPr>
              <w:rPr>
                <w:rFonts w:asciiTheme="majorHAnsi" w:hAnsiTheme="majorHAnsi" w:cstheme="majorHAnsi"/>
                <w:sz w:val="24"/>
                <w:szCs w:val="24"/>
              </w:rPr>
            </w:pPr>
          </w:p>
        </w:tc>
        <w:tc>
          <w:tcPr>
            <w:tcW w:w="0" w:type="auto"/>
          </w:tcPr>
          <w:p w14:paraId="5C2F94BA" w14:textId="77777777" w:rsidR="002975F4" w:rsidRDefault="002975F4">
            <w:pPr>
              <w:rPr>
                <w:rFonts w:asciiTheme="majorHAnsi" w:hAnsiTheme="majorHAnsi" w:cstheme="majorHAnsi"/>
                <w:sz w:val="24"/>
                <w:szCs w:val="24"/>
              </w:rPr>
            </w:pPr>
          </w:p>
        </w:tc>
        <w:tc>
          <w:tcPr>
            <w:tcW w:w="2414" w:type="dxa"/>
          </w:tcPr>
          <w:p w14:paraId="28697A7D" w14:textId="77777777" w:rsidR="002975F4" w:rsidRDefault="002975F4">
            <w:pPr>
              <w:rPr>
                <w:rFonts w:asciiTheme="majorHAnsi" w:hAnsiTheme="majorHAnsi" w:cstheme="majorHAnsi"/>
                <w:sz w:val="24"/>
                <w:szCs w:val="24"/>
              </w:rPr>
            </w:pPr>
          </w:p>
        </w:tc>
        <w:tc>
          <w:tcPr>
            <w:tcW w:w="2693" w:type="dxa"/>
          </w:tcPr>
          <w:p w14:paraId="718CDBDB" w14:textId="77777777" w:rsidR="002975F4" w:rsidRDefault="002975F4">
            <w:pPr>
              <w:rPr>
                <w:rFonts w:asciiTheme="majorHAnsi" w:hAnsiTheme="majorHAnsi" w:cstheme="majorHAnsi"/>
                <w:sz w:val="24"/>
                <w:szCs w:val="24"/>
              </w:rPr>
            </w:pPr>
          </w:p>
        </w:tc>
        <w:tc>
          <w:tcPr>
            <w:tcW w:w="1348" w:type="dxa"/>
          </w:tcPr>
          <w:p w14:paraId="43DB6794" w14:textId="77777777" w:rsidR="002975F4" w:rsidRDefault="002975F4">
            <w:pPr>
              <w:rPr>
                <w:rFonts w:asciiTheme="majorHAnsi" w:hAnsiTheme="majorHAnsi" w:cstheme="majorHAnsi"/>
                <w:sz w:val="24"/>
                <w:szCs w:val="24"/>
              </w:rPr>
            </w:pPr>
          </w:p>
        </w:tc>
      </w:tr>
      <w:tr w:rsidR="002975F4" w14:paraId="22DD9A67" w14:textId="77777777">
        <w:tc>
          <w:tcPr>
            <w:tcW w:w="1701" w:type="dxa"/>
          </w:tcPr>
          <w:p w14:paraId="470DE0C5" w14:textId="77777777" w:rsidR="002975F4" w:rsidRDefault="00000000">
            <w:pPr>
              <w:rPr>
                <w:rFonts w:asciiTheme="majorHAnsi" w:hAnsiTheme="majorHAnsi" w:cstheme="majorHAnsi"/>
                <w:sz w:val="24"/>
                <w:szCs w:val="24"/>
              </w:rPr>
            </w:pPr>
            <w:r>
              <w:rPr>
                <w:rFonts w:asciiTheme="majorHAnsi" w:hAnsiTheme="majorHAnsi" w:cstheme="majorHAnsi"/>
                <w:sz w:val="24"/>
                <w:szCs w:val="24"/>
              </w:rPr>
              <w:t>Particularité(s)</w:t>
            </w:r>
          </w:p>
        </w:tc>
        <w:tc>
          <w:tcPr>
            <w:tcW w:w="1185" w:type="dxa"/>
          </w:tcPr>
          <w:p w14:paraId="7A74CDA3" w14:textId="77777777" w:rsidR="002975F4" w:rsidRDefault="002975F4">
            <w:pPr>
              <w:rPr>
                <w:rFonts w:asciiTheme="majorHAnsi" w:hAnsiTheme="majorHAnsi" w:cstheme="majorHAnsi"/>
                <w:sz w:val="24"/>
                <w:szCs w:val="24"/>
              </w:rPr>
            </w:pPr>
          </w:p>
        </w:tc>
        <w:tc>
          <w:tcPr>
            <w:tcW w:w="0" w:type="auto"/>
          </w:tcPr>
          <w:p w14:paraId="6E01F1E1" w14:textId="77777777" w:rsidR="002975F4" w:rsidRDefault="002975F4">
            <w:pPr>
              <w:rPr>
                <w:rFonts w:asciiTheme="majorHAnsi" w:hAnsiTheme="majorHAnsi" w:cstheme="majorHAnsi"/>
                <w:sz w:val="24"/>
                <w:szCs w:val="24"/>
              </w:rPr>
            </w:pPr>
          </w:p>
        </w:tc>
        <w:tc>
          <w:tcPr>
            <w:tcW w:w="2414" w:type="dxa"/>
          </w:tcPr>
          <w:p w14:paraId="5BA934C1" w14:textId="77777777" w:rsidR="002975F4" w:rsidRDefault="002975F4">
            <w:pPr>
              <w:rPr>
                <w:rFonts w:asciiTheme="majorHAnsi" w:hAnsiTheme="majorHAnsi" w:cstheme="majorHAnsi"/>
                <w:sz w:val="24"/>
                <w:szCs w:val="24"/>
              </w:rPr>
            </w:pPr>
          </w:p>
        </w:tc>
        <w:tc>
          <w:tcPr>
            <w:tcW w:w="2693" w:type="dxa"/>
          </w:tcPr>
          <w:p w14:paraId="0559BF3C" w14:textId="77777777" w:rsidR="002975F4" w:rsidRDefault="002975F4">
            <w:pPr>
              <w:rPr>
                <w:rFonts w:asciiTheme="majorHAnsi" w:hAnsiTheme="majorHAnsi" w:cstheme="majorHAnsi"/>
                <w:sz w:val="24"/>
                <w:szCs w:val="24"/>
              </w:rPr>
            </w:pPr>
          </w:p>
        </w:tc>
        <w:tc>
          <w:tcPr>
            <w:tcW w:w="1348" w:type="dxa"/>
          </w:tcPr>
          <w:p w14:paraId="5F0A2295" w14:textId="77777777" w:rsidR="002975F4" w:rsidRDefault="002975F4">
            <w:pPr>
              <w:rPr>
                <w:rFonts w:asciiTheme="majorHAnsi" w:hAnsiTheme="majorHAnsi" w:cstheme="majorHAnsi"/>
                <w:sz w:val="24"/>
                <w:szCs w:val="24"/>
              </w:rPr>
            </w:pPr>
          </w:p>
        </w:tc>
      </w:tr>
    </w:tbl>
    <w:p w14:paraId="2A7926F4" w14:textId="77777777" w:rsidR="002975F4" w:rsidRDefault="002975F4">
      <w:pPr>
        <w:rPr>
          <w:rFonts w:asciiTheme="majorHAnsi" w:hAnsiTheme="majorHAnsi" w:cstheme="majorHAnsi"/>
          <w:sz w:val="24"/>
          <w:szCs w:val="24"/>
        </w:rPr>
      </w:pPr>
    </w:p>
    <w:tbl>
      <w:tblPr>
        <w:tblStyle w:val="Grilledutableau"/>
        <w:tblW w:w="9067" w:type="dxa"/>
        <w:tblLook w:val="04A0" w:firstRow="1" w:lastRow="0" w:firstColumn="1" w:lastColumn="0" w:noHBand="0" w:noVBand="1"/>
      </w:tblPr>
      <w:tblGrid>
        <w:gridCol w:w="4673"/>
        <w:gridCol w:w="4394"/>
      </w:tblGrid>
      <w:tr w:rsidR="002975F4" w14:paraId="52740CF0" w14:textId="77777777">
        <w:tc>
          <w:tcPr>
            <w:tcW w:w="9062" w:type="dxa"/>
            <w:gridSpan w:val="2"/>
            <w:tcBorders>
              <w:top w:val="single" w:sz="4" w:space="0" w:color="FFFFFF"/>
              <w:left w:val="single" w:sz="4" w:space="0" w:color="FFFFFF"/>
              <w:bottom w:val="none" w:sz="4" w:space="0" w:color="000000"/>
              <w:right w:val="single" w:sz="4" w:space="0" w:color="FFFFFF"/>
            </w:tcBorders>
          </w:tcPr>
          <w:p w14:paraId="04D827B3" w14:textId="77777777" w:rsidR="002975F4" w:rsidRDefault="00000000">
            <w:pPr>
              <w:jc w:val="both"/>
              <w:rPr>
                <w:rFonts w:asciiTheme="majorHAnsi" w:hAnsiTheme="majorHAnsi" w:cstheme="majorHAnsi"/>
              </w:rPr>
            </w:pPr>
            <w:r>
              <w:rPr>
                <w:rFonts w:asciiTheme="majorHAnsi" w:hAnsiTheme="majorHAnsi" w:cstheme="majorHAnsi"/>
              </w:rPr>
              <w:t xml:space="preserve">Fait en deux exemplaires, </w:t>
            </w:r>
            <w:r>
              <w:rPr>
                <w:rFonts w:asciiTheme="majorHAnsi" w:hAnsiTheme="majorHAnsi" w:cstheme="majorHAnsi"/>
                <w:highlight w:val="white"/>
              </w:rPr>
              <w:t>à (lieu), le (date)</w:t>
            </w:r>
          </w:p>
          <w:p w14:paraId="7377B552" w14:textId="77777777" w:rsidR="002975F4" w:rsidRDefault="002975F4">
            <w:pPr>
              <w:jc w:val="both"/>
              <w:rPr>
                <w:rFonts w:asciiTheme="majorHAnsi" w:hAnsiTheme="majorHAnsi" w:cstheme="majorHAnsi"/>
              </w:rPr>
            </w:pPr>
          </w:p>
        </w:tc>
      </w:tr>
      <w:tr w:rsidR="002975F4" w14:paraId="3488A645" w14:textId="77777777">
        <w:tc>
          <w:tcPr>
            <w:tcW w:w="4673" w:type="dxa"/>
            <w:tcBorders>
              <w:top w:val="none" w:sz="4" w:space="0" w:color="000000"/>
              <w:left w:val="single" w:sz="4" w:space="0" w:color="FFFFFF"/>
              <w:bottom w:val="single" w:sz="4" w:space="0" w:color="FFFFFF"/>
              <w:right w:val="single" w:sz="4" w:space="0" w:color="FFFFFF"/>
            </w:tcBorders>
          </w:tcPr>
          <w:p w14:paraId="492140A8" w14:textId="77777777" w:rsidR="002975F4" w:rsidRDefault="00000000">
            <w:pPr>
              <w:jc w:val="both"/>
              <w:rPr>
                <w:rFonts w:asciiTheme="majorHAnsi" w:hAnsiTheme="majorHAnsi" w:cstheme="majorHAnsi"/>
              </w:rPr>
            </w:pPr>
            <w:r>
              <w:rPr>
                <w:rFonts w:asciiTheme="majorHAnsi" w:hAnsiTheme="majorHAnsi" w:cstheme="majorHAnsi"/>
              </w:rPr>
              <w:t>L’emprunteur,</w:t>
            </w:r>
          </w:p>
          <w:p w14:paraId="1BBA5555" w14:textId="77777777" w:rsidR="002975F4" w:rsidRDefault="002975F4">
            <w:pPr>
              <w:jc w:val="both"/>
              <w:rPr>
                <w:rFonts w:asciiTheme="majorHAnsi" w:hAnsiTheme="majorHAnsi" w:cstheme="majorHAnsi"/>
              </w:rPr>
            </w:pPr>
          </w:p>
          <w:p w14:paraId="566871B9" w14:textId="77777777" w:rsidR="002975F4" w:rsidRDefault="002975F4">
            <w:pPr>
              <w:jc w:val="both"/>
              <w:rPr>
                <w:rFonts w:asciiTheme="majorHAnsi" w:hAnsiTheme="majorHAnsi" w:cstheme="majorHAnsi"/>
              </w:rPr>
            </w:pPr>
          </w:p>
          <w:p w14:paraId="7FDFA9DC" w14:textId="77777777" w:rsidR="002975F4" w:rsidRDefault="002975F4">
            <w:pPr>
              <w:jc w:val="both"/>
              <w:rPr>
                <w:rFonts w:asciiTheme="majorHAnsi" w:hAnsiTheme="majorHAnsi" w:cstheme="majorHAnsi"/>
              </w:rPr>
            </w:pPr>
          </w:p>
          <w:p w14:paraId="42844D17" w14:textId="77777777" w:rsidR="002975F4" w:rsidRDefault="002975F4">
            <w:pPr>
              <w:jc w:val="both"/>
              <w:rPr>
                <w:rFonts w:asciiTheme="majorHAnsi" w:hAnsiTheme="majorHAnsi" w:cstheme="majorHAnsi"/>
              </w:rPr>
            </w:pPr>
          </w:p>
        </w:tc>
        <w:tc>
          <w:tcPr>
            <w:tcW w:w="4394" w:type="dxa"/>
            <w:tcBorders>
              <w:top w:val="none" w:sz="4" w:space="0" w:color="000000"/>
              <w:left w:val="single" w:sz="4" w:space="0" w:color="FFFFFF"/>
              <w:bottom w:val="single" w:sz="4" w:space="0" w:color="FFFFFF"/>
              <w:right w:val="single" w:sz="4" w:space="0" w:color="FFFFFF"/>
            </w:tcBorders>
          </w:tcPr>
          <w:p w14:paraId="688E420C" w14:textId="77777777" w:rsidR="002975F4" w:rsidRDefault="00000000">
            <w:pPr>
              <w:jc w:val="both"/>
              <w:rPr>
                <w:rFonts w:asciiTheme="majorHAnsi" w:hAnsiTheme="majorHAnsi" w:cstheme="majorHAnsi"/>
              </w:rPr>
            </w:pPr>
            <w:r>
              <w:rPr>
                <w:rFonts w:asciiTheme="majorHAnsi" w:hAnsiTheme="majorHAnsi" w:cstheme="majorHAnsi"/>
              </w:rPr>
              <w:lastRenderedPageBreak/>
              <w:t xml:space="preserve">Le prêteur, </w:t>
            </w:r>
          </w:p>
        </w:tc>
      </w:tr>
    </w:tbl>
    <w:p w14:paraId="795F6BB8" w14:textId="77777777" w:rsidR="002975F4" w:rsidRDefault="00000000">
      <w:pPr>
        <w:jc w:val="center"/>
        <w:rPr>
          <w:rFonts w:cstheme="minorHAnsi"/>
          <w:sz w:val="28"/>
          <w:szCs w:val="28"/>
        </w:rPr>
      </w:pPr>
      <w:r>
        <w:rPr>
          <w:rFonts w:cstheme="minorHAnsi"/>
          <w:sz w:val="28"/>
          <w:szCs w:val="28"/>
        </w:rPr>
        <w:t>Annexe C – Modalités de fauchage/pâturage conformément à l’article 7 §2, alinéa 3 du commodat</w:t>
      </w:r>
    </w:p>
    <w:p w14:paraId="5CB47D0F" w14:textId="77777777" w:rsidR="002975F4" w:rsidRDefault="00000000">
      <w:pPr>
        <w:jc w:val="both"/>
        <w:rPr>
          <w:rFonts w:asciiTheme="majorHAnsi" w:hAnsiTheme="majorHAnsi" w:cstheme="majorHAnsi"/>
        </w:rPr>
      </w:pPr>
      <w:r>
        <w:rPr>
          <w:rFonts w:asciiTheme="majorHAnsi" w:hAnsiTheme="majorHAnsi" w:cstheme="majorHAnsi"/>
          <w:i/>
          <w:iCs/>
        </w:rPr>
        <w:t>En cas d’utilisation des deux modes d’exploitation sur des parties de parcelles distinctes, joindre un plan en annexe. En cas de pâturage à faible charge avec nécessité de fauchage complémentaire, le préciser dans les modalités</w:t>
      </w:r>
      <w:r>
        <w:rPr>
          <w:rFonts w:asciiTheme="majorHAnsi" w:hAnsiTheme="majorHAnsi" w:cstheme="majorHAnsi"/>
        </w:rPr>
        <w:t xml:space="preserve"> :</w:t>
      </w:r>
    </w:p>
    <w:tbl>
      <w:tblPr>
        <w:tblStyle w:val="Grilledutableau"/>
        <w:tblW w:w="0" w:type="auto"/>
        <w:tblLook w:val="04A0" w:firstRow="1" w:lastRow="0" w:firstColumn="1" w:lastColumn="0" w:noHBand="0" w:noVBand="1"/>
      </w:tblPr>
      <w:tblGrid>
        <w:gridCol w:w="1812"/>
        <w:gridCol w:w="1812"/>
        <w:gridCol w:w="1812"/>
        <w:gridCol w:w="1813"/>
        <w:gridCol w:w="1813"/>
      </w:tblGrid>
      <w:tr w:rsidR="002975F4" w14:paraId="525811B2" w14:textId="77777777">
        <w:tc>
          <w:tcPr>
            <w:tcW w:w="1812" w:type="dxa"/>
          </w:tcPr>
          <w:p w14:paraId="132E952C" w14:textId="77777777" w:rsidR="002975F4" w:rsidRDefault="002975F4">
            <w:pPr>
              <w:rPr>
                <w:rFonts w:asciiTheme="majorHAnsi" w:hAnsiTheme="majorHAnsi" w:cstheme="majorHAnsi"/>
              </w:rPr>
            </w:pPr>
          </w:p>
        </w:tc>
        <w:tc>
          <w:tcPr>
            <w:tcW w:w="1812" w:type="dxa"/>
          </w:tcPr>
          <w:p w14:paraId="7D1D81F6" w14:textId="77777777" w:rsidR="002975F4" w:rsidRDefault="00000000">
            <w:pPr>
              <w:rPr>
                <w:rFonts w:asciiTheme="majorHAnsi" w:hAnsiTheme="majorHAnsi" w:cstheme="majorHAnsi"/>
              </w:rPr>
            </w:pPr>
            <w:r>
              <w:rPr>
                <w:rFonts w:asciiTheme="majorHAnsi" w:hAnsiTheme="majorHAnsi" w:cstheme="majorHAnsi"/>
              </w:rPr>
              <w:t>Période (min – max)</w:t>
            </w:r>
          </w:p>
        </w:tc>
        <w:tc>
          <w:tcPr>
            <w:tcW w:w="1812" w:type="dxa"/>
          </w:tcPr>
          <w:p w14:paraId="700FB76B" w14:textId="77777777" w:rsidR="002975F4" w:rsidRDefault="00000000">
            <w:pPr>
              <w:rPr>
                <w:rFonts w:asciiTheme="majorHAnsi" w:hAnsiTheme="majorHAnsi" w:cstheme="majorHAnsi"/>
              </w:rPr>
            </w:pPr>
            <w:r>
              <w:rPr>
                <w:rFonts w:asciiTheme="majorHAnsi" w:hAnsiTheme="majorHAnsi" w:cstheme="majorHAnsi"/>
              </w:rPr>
              <w:t>Charge (min – max)</w:t>
            </w:r>
          </w:p>
        </w:tc>
        <w:tc>
          <w:tcPr>
            <w:tcW w:w="1813" w:type="dxa"/>
          </w:tcPr>
          <w:p w14:paraId="25FC8A38" w14:textId="77777777" w:rsidR="002975F4" w:rsidRDefault="00000000">
            <w:pPr>
              <w:rPr>
                <w:rFonts w:asciiTheme="majorHAnsi" w:hAnsiTheme="majorHAnsi" w:cstheme="majorHAnsi"/>
              </w:rPr>
            </w:pPr>
            <w:r>
              <w:rPr>
                <w:rFonts w:asciiTheme="majorHAnsi" w:hAnsiTheme="majorHAnsi" w:cstheme="majorHAnsi"/>
              </w:rPr>
              <w:t>Modalités</w:t>
            </w:r>
          </w:p>
        </w:tc>
        <w:tc>
          <w:tcPr>
            <w:tcW w:w="1813" w:type="dxa"/>
          </w:tcPr>
          <w:p w14:paraId="644F540B" w14:textId="77777777" w:rsidR="002975F4" w:rsidRDefault="00000000">
            <w:pPr>
              <w:rPr>
                <w:rFonts w:asciiTheme="majorHAnsi" w:hAnsiTheme="majorHAnsi" w:cstheme="majorHAnsi"/>
              </w:rPr>
            </w:pPr>
            <w:r>
              <w:rPr>
                <w:rFonts w:asciiTheme="majorHAnsi" w:hAnsiTheme="majorHAnsi" w:cstheme="majorHAnsi"/>
              </w:rPr>
              <w:t>N° de parcelles</w:t>
            </w:r>
          </w:p>
        </w:tc>
      </w:tr>
      <w:tr w:rsidR="002975F4" w14:paraId="1C74DBE7" w14:textId="77777777">
        <w:tc>
          <w:tcPr>
            <w:tcW w:w="1812" w:type="dxa"/>
          </w:tcPr>
          <w:p w14:paraId="17ABC27E" w14:textId="77777777" w:rsidR="002975F4" w:rsidRDefault="00000000">
            <w:pPr>
              <w:rPr>
                <w:rFonts w:asciiTheme="majorHAnsi" w:hAnsiTheme="majorHAnsi" w:cstheme="majorHAnsi"/>
              </w:rPr>
            </w:pPr>
            <w:r>
              <w:rPr>
                <w:rFonts w:asciiTheme="majorHAnsi" w:hAnsiTheme="majorHAnsi" w:cstheme="majorHAnsi"/>
              </w:rPr>
              <w:t>Fauchage</w:t>
            </w:r>
          </w:p>
        </w:tc>
        <w:tc>
          <w:tcPr>
            <w:tcW w:w="1812" w:type="dxa"/>
          </w:tcPr>
          <w:p w14:paraId="335113AC" w14:textId="77777777" w:rsidR="002975F4" w:rsidRDefault="00000000">
            <w:pPr>
              <w:rPr>
                <w:rFonts w:asciiTheme="majorHAnsi" w:hAnsiTheme="majorHAnsi" w:cstheme="majorHAnsi"/>
              </w:rPr>
            </w:pPr>
            <w:r>
              <w:rPr>
                <w:rFonts w:asciiTheme="majorHAnsi" w:hAnsiTheme="majorHAnsi" w:cstheme="majorHAnsi"/>
              </w:rPr>
              <w:t xml:space="preserve">1er juillet au 31 octobre </w:t>
            </w:r>
          </w:p>
        </w:tc>
        <w:tc>
          <w:tcPr>
            <w:tcW w:w="1812" w:type="dxa"/>
          </w:tcPr>
          <w:p w14:paraId="486C744B" w14:textId="77777777" w:rsidR="002975F4" w:rsidRDefault="002975F4">
            <w:pPr>
              <w:rPr>
                <w:rFonts w:asciiTheme="majorHAnsi" w:hAnsiTheme="majorHAnsi" w:cstheme="majorHAnsi"/>
              </w:rPr>
            </w:pPr>
          </w:p>
        </w:tc>
        <w:tc>
          <w:tcPr>
            <w:tcW w:w="1813" w:type="dxa"/>
          </w:tcPr>
          <w:p w14:paraId="03B62DAD" w14:textId="77777777" w:rsidR="002975F4" w:rsidRDefault="00000000">
            <w:pPr>
              <w:rPr>
                <w:rFonts w:asciiTheme="majorHAnsi" w:hAnsiTheme="majorHAnsi" w:cstheme="majorHAnsi"/>
              </w:rPr>
            </w:pPr>
            <w:r>
              <w:rPr>
                <w:rFonts w:asciiTheme="majorHAnsi" w:hAnsiTheme="majorHAnsi" w:cstheme="majorHAnsi"/>
              </w:rPr>
              <w:t xml:space="preserve">10% de zone refuge </w:t>
            </w:r>
          </w:p>
        </w:tc>
        <w:tc>
          <w:tcPr>
            <w:tcW w:w="1813" w:type="dxa"/>
            <w:vMerge w:val="restart"/>
          </w:tcPr>
          <w:p w14:paraId="7F0303CF" w14:textId="77777777" w:rsidR="002975F4" w:rsidRDefault="00000000">
            <w:pPr>
              <w:rPr>
                <w:rFonts w:asciiTheme="majorHAnsi" w:hAnsiTheme="majorHAnsi" w:cstheme="majorHAnsi"/>
              </w:rPr>
            </w:pPr>
            <w:r>
              <w:rPr>
                <w:rFonts w:asciiTheme="majorHAnsi" w:hAnsiTheme="majorHAnsi" w:cstheme="majorHAnsi"/>
              </w:rPr>
              <w:t>221a, 226 et 227</w:t>
            </w:r>
          </w:p>
          <w:p w14:paraId="31B624B8" w14:textId="40D1D71D" w:rsidR="002975F4" w:rsidRDefault="00000000">
            <w:pPr>
              <w:rPr>
                <w:rFonts w:asciiTheme="majorHAnsi" w:hAnsiTheme="majorHAnsi" w:cstheme="majorHAnsi"/>
              </w:rPr>
            </w:pPr>
            <w:r>
              <w:rPr>
                <w:rFonts w:asciiTheme="majorHAnsi" w:hAnsiTheme="majorHAnsi" w:cstheme="majorHAnsi"/>
              </w:rPr>
              <w:t xml:space="preserve">—&gt; une des deux modalités fauche ou </w:t>
            </w:r>
            <w:r w:rsidR="00D33829">
              <w:rPr>
                <w:rFonts w:asciiTheme="majorHAnsi" w:hAnsiTheme="majorHAnsi" w:cstheme="majorHAnsi"/>
              </w:rPr>
              <w:t>pâturage</w:t>
            </w:r>
            <w:r>
              <w:rPr>
                <w:rFonts w:asciiTheme="majorHAnsi" w:hAnsiTheme="majorHAnsi" w:cstheme="majorHAnsi"/>
              </w:rPr>
              <w:t xml:space="preserve"> </w:t>
            </w:r>
          </w:p>
          <w:p w14:paraId="33AB7EE3" w14:textId="77777777" w:rsidR="002975F4" w:rsidRDefault="002975F4">
            <w:pPr>
              <w:rPr>
                <w:rFonts w:asciiTheme="majorHAnsi" w:hAnsiTheme="majorHAnsi" w:cstheme="majorHAnsi"/>
              </w:rPr>
            </w:pPr>
          </w:p>
          <w:p w14:paraId="552F8E59" w14:textId="77777777" w:rsidR="002975F4" w:rsidRDefault="002975F4">
            <w:pPr>
              <w:rPr>
                <w:rFonts w:asciiTheme="majorHAnsi" w:hAnsiTheme="majorHAnsi" w:cstheme="majorHAnsi"/>
              </w:rPr>
            </w:pPr>
          </w:p>
        </w:tc>
      </w:tr>
      <w:tr w:rsidR="002975F4" w14:paraId="626DE6B7" w14:textId="77777777">
        <w:tc>
          <w:tcPr>
            <w:tcW w:w="1812" w:type="dxa"/>
          </w:tcPr>
          <w:p w14:paraId="4A24F227" w14:textId="77777777" w:rsidR="002975F4" w:rsidRDefault="00000000">
            <w:pPr>
              <w:rPr>
                <w:rFonts w:asciiTheme="majorHAnsi" w:hAnsiTheme="majorHAnsi" w:cstheme="majorHAnsi"/>
              </w:rPr>
            </w:pPr>
            <w:r>
              <w:rPr>
                <w:rFonts w:asciiTheme="majorHAnsi" w:hAnsiTheme="majorHAnsi" w:cstheme="majorHAnsi"/>
              </w:rPr>
              <w:t>Pâturage</w:t>
            </w:r>
          </w:p>
        </w:tc>
        <w:tc>
          <w:tcPr>
            <w:tcW w:w="1812" w:type="dxa"/>
          </w:tcPr>
          <w:p w14:paraId="066A95B8" w14:textId="77777777" w:rsidR="002975F4" w:rsidRDefault="00000000">
            <w:pPr>
              <w:rPr>
                <w:rFonts w:asciiTheme="majorHAnsi" w:hAnsiTheme="majorHAnsi" w:cstheme="majorHAnsi"/>
              </w:rPr>
            </w:pPr>
            <w:r>
              <w:rPr>
                <w:rFonts w:asciiTheme="majorHAnsi" w:hAnsiTheme="majorHAnsi" w:cstheme="majorHAnsi"/>
              </w:rPr>
              <w:t xml:space="preserve">1er juillet au 31 octobre </w:t>
            </w:r>
          </w:p>
          <w:p w14:paraId="41FE5543" w14:textId="77777777" w:rsidR="002975F4" w:rsidRDefault="002975F4">
            <w:pPr>
              <w:rPr>
                <w:rFonts w:asciiTheme="majorHAnsi" w:hAnsiTheme="majorHAnsi" w:cstheme="majorHAnsi"/>
              </w:rPr>
            </w:pPr>
          </w:p>
        </w:tc>
        <w:tc>
          <w:tcPr>
            <w:tcW w:w="1812" w:type="dxa"/>
          </w:tcPr>
          <w:p w14:paraId="5519C5A1" w14:textId="77777777" w:rsidR="002975F4" w:rsidRDefault="00000000">
            <w:pPr>
              <w:rPr>
                <w:rFonts w:asciiTheme="majorHAnsi" w:hAnsiTheme="majorHAnsi" w:cstheme="majorHAnsi"/>
              </w:rPr>
            </w:pPr>
            <w:r>
              <w:rPr>
                <w:rFonts w:asciiTheme="majorHAnsi" w:hAnsiTheme="majorHAnsi" w:cstheme="majorHAnsi"/>
              </w:rPr>
              <w:t xml:space="preserve">0.5 </w:t>
            </w:r>
            <w:proofErr w:type="spellStart"/>
            <w:r>
              <w:rPr>
                <w:rFonts w:asciiTheme="majorHAnsi" w:hAnsiTheme="majorHAnsi" w:cstheme="majorHAnsi"/>
              </w:rPr>
              <w:t>ugb</w:t>
            </w:r>
            <w:proofErr w:type="spellEnd"/>
            <w:r>
              <w:rPr>
                <w:rFonts w:asciiTheme="majorHAnsi" w:hAnsiTheme="majorHAnsi" w:cstheme="majorHAnsi"/>
              </w:rPr>
              <w:t xml:space="preserve"> /ha /an </w:t>
            </w:r>
          </w:p>
        </w:tc>
        <w:tc>
          <w:tcPr>
            <w:tcW w:w="1813" w:type="dxa"/>
          </w:tcPr>
          <w:p w14:paraId="58BF869B" w14:textId="5FA7B0BD" w:rsidR="002975F4" w:rsidRDefault="00000000">
            <w:pPr>
              <w:rPr>
                <w:rFonts w:asciiTheme="majorHAnsi" w:hAnsiTheme="majorHAnsi" w:cstheme="majorHAnsi"/>
              </w:rPr>
            </w:pPr>
            <w:r>
              <w:rPr>
                <w:rFonts w:asciiTheme="majorHAnsi" w:hAnsiTheme="majorHAnsi" w:cstheme="majorHAnsi"/>
              </w:rPr>
              <w:t xml:space="preserve">Ovins ou </w:t>
            </w:r>
            <w:r w:rsidR="00D33829">
              <w:rPr>
                <w:rFonts w:asciiTheme="majorHAnsi" w:hAnsiTheme="majorHAnsi" w:cstheme="majorHAnsi"/>
              </w:rPr>
              <w:t>vaches rustiques</w:t>
            </w:r>
            <w:r>
              <w:rPr>
                <w:rFonts w:asciiTheme="majorHAnsi" w:hAnsiTheme="majorHAnsi" w:cstheme="majorHAnsi"/>
              </w:rPr>
              <w:t xml:space="preserve"> (</w:t>
            </w:r>
            <w:proofErr w:type="spellStart"/>
            <w:r>
              <w:rPr>
                <w:rFonts w:asciiTheme="majorHAnsi" w:hAnsiTheme="majorHAnsi" w:cstheme="majorHAnsi"/>
              </w:rPr>
              <w:t>dah</w:t>
            </w:r>
            <w:r w:rsidR="00D33829">
              <w:rPr>
                <w:rFonts w:asciiTheme="majorHAnsi" w:hAnsiTheme="majorHAnsi" w:cstheme="majorHAnsi"/>
              </w:rPr>
              <w:t>o</w:t>
            </w:r>
            <w:r>
              <w:rPr>
                <w:rFonts w:asciiTheme="majorHAnsi" w:hAnsiTheme="majorHAnsi" w:cstheme="majorHAnsi"/>
              </w:rPr>
              <w:t>mey</w:t>
            </w:r>
            <w:proofErr w:type="spellEnd"/>
            <w:r>
              <w:rPr>
                <w:rFonts w:asciiTheme="majorHAnsi" w:hAnsiTheme="majorHAnsi" w:cstheme="majorHAnsi"/>
              </w:rPr>
              <w:t xml:space="preserve">, highland, </w:t>
            </w:r>
            <w:proofErr w:type="spellStart"/>
            <w:r>
              <w:rPr>
                <w:rFonts w:asciiTheme="majorHAnsi" w:hAnsiTheme="majorHAnsi" w:cstheme="majorHAnsi"/>
              </w:rPr>
              <w:t>galloway</w:t>
            </w:r>
            <w:proofErr w:type="spellEnd"/>
            <w:r>
              <w:rPr>
                <w:rFonts w:asciiTheme="majorHAnsi" w:hAnsiTheme="majorHAnsi" w:cstheme="majorHAnsi"/>
              </w:rPr>
              <w:t xml:space="preserve">) </w:t>
            </w:r>
          </w:p>
        </w:tc>
        <w:tc>
          <w:tcPr>
            <w:tcW w:w="1813" w:type="dxa"/>
            <w:vMerge/>
          </w:tcPr>
          <w:p w14:paraId="469BCF56" w14:textId="77777777" w:rsidR="002975F4" w:rsidRDefault="002975F4"/>
        </w:tc>
      </w:tr>
      <w:tr w:rsidR="002975F4" w14:paraId="3D7A0371" w14:textId="77777777">
        <w:trPr>
          <w:trHeight w:val="269"/>
        </w:trPr>
        <w:tc>
          <w:tcPr>
            <w:tcW w:w="1812" w:type="dxa"/>
            <w:vMerge w:val="restart"/>
          </w:tcPr>
          <w:p w14:paraId="2D38D778" w14:textId="3E5132E0" w:rsidR="002975F4" w:rsidRDefault="00D33829">
            <w:pPr>
              <w:rPr>
                <w:rFonts w:asciiTheme="majorHAnsi" w:hAnsiTheme="majorHAnsi" w:cstheme="majorHAnsi"/>
              </w:rPr>
            </w:pPr>
            <w:r>
              <w:rPr>
                <w:rFonts w:asciiTheme="majorHAnsi" w:hAnsiTheme="majorHAnsi" w:cstheme="majorHAnsi"/>
              </w:rPr>
              <w:t xml:space="preserve">Pâturage </w:t>
            </w:r>
          </w:p>
        </w:tc>
        <w:tc>
          <w:tcPr>
            <w:tcW w:w="1812" w:type="dxa"/>
            <w:vMerge w:val="restart"/>
          </w:tcPr>
          <w:p w14:paraId="78AEDA07" w14:textId="1B5C15E6" w:rsidR="002975F4" w:rsidRDefault="00000000">
            <w:pPr>
              <w:rPr>
                <w:rFonts w:asciiTheme="majorHAnsi" w:hAnsiTheme="majorHAnsi" w:cstheme="majorHAnsi"/>
              </w:rPr>
            </w:pPr>
            <w:r>
              <w:rPr>
                <w:rFonts w:asciiTheme="majorHAnsi" w:hAnsiTheme="majorHAnsi" w:cstheme="majorHAnsi"/>
              </w:rPr>
              <w:t xml:space="preserve">1 er aout au 31 </w:t>
            </w:r>
            <w:r w:rsidR="00D33829">
              <w:rPr>
                <w:rFonts w:asciiTheme="majorHAnsi" w:hAnsiTheme="majorHAnsi" w:cstheme="majorHAnsi"/>
              </w:rPr>
              <w:t>octobre</w:t>
            </w:r>
            <w:r>
              <w:rPr>
                <w:rFonts w:asciiTheme="majorHAnsi" w:hAnsiTheme="majorHAnsi" w:cstheme="majorHAnsi"/>
              </w:rPr>
              <w:t xml:space="preserve"> </w:t>
            </w:r>
          </w:p>
        </w:tc>
        <w:tc>
          <w:tcPr>
            <w:tcW w:w="1812" w:type="dxa"/>
            <w:vMerge w:val="restart"/>
          </w:tcPr>
          <w:p w14:paraId="66EF2AAA" w14:textId="4F4F5D20" w:rsidR="002975F4" w:rsidRDefault="00000000">
            <w:pPr>
              <w:rPr>
                <w:rFonts w:asciiTheme="majorHAnsi" w:hAnsiTheme="majorHAnsi" w:cstheme="majorHAnsi"/>
              </w:rPr>
            </w:pPr>
            <w:r>
              <w:rPr>
                <w:rFonts w:asciiTheme="majorHAnsi" w:hAnsiTheme="majorHAnsi" w:cstheme="majorHAnsi"/>
              </w:rPr>
              <w:t xml:space="preserve">0.5 </w:t>
            </w:r>
            <w:proofErr w:type="spellStart"/>
            <w:r>
              <w:rPr>
                <w:rFonts w:asciiTheme="majorHAnsi" w:hAnsiTheme="majorHAnsi" w:cstheme="majorHAnsi"/>
              </w:rPr>
              <w:t>ugb</w:t>
            </w:r>
            <w:proofErr w:type="spellEnd"/>
            <w:r>
              <w:rPr>
                <w:rFonts w:asciiTheme="majorHAnsi" w:hAnsiTheme="majorHAnsi" w:cstheme="majorHAnsi"/>
              </w:rPr>
              <w:t xml:space="preserve">/ha/an </w:t>
            </w:r>
          </w:p>
        </w:tc>
        <w:tc>
          <w:tcPr>
            <w:tcW w:w="1813" w:type="dxa"/>
            <w:vMerge w:val="restart"/>
          </w:tcPr>
          <w:p w14:paraId="004499CC" w14:textId="5359411A" w:rsidR="002975F4" w:rsidRDefault="00000000">
            <w:pPr>
              <w:rPr>
                <w:rFonts w:asciiTheme="majorHAnsi" w:hAnsiTheme="majorHAnsi" w:cstheme="majorHAnsi"/>
              </w:rPr>
            </w:pPr>
            <w:r>
              <w:rPr>
                <w:rFonts w:asciiTheme="majorHAnsi" w:hAnsiTheme="majorHAnsi" w:cstheme="majorHAnsi"/>
              </w:rPr>
              <w:t>Ovins ou vaches rustiques (</w:t>
            </w:r>
            <w:proofErr w:type="spellStart"/>
            <w:r>
              <w:rPr>
                <w:rFonts w:asciiTheme="majorHAnsi" w:hAnsiTheme="majorHAnsi" w:cstheme="majorHAnsi"/>
              </w:rPr>
              <w:t>dah</w:t>
            </w:r>
            <w:r w:rsidR="00D33829">
              <w:rPr>
                <w:rFonts w:asciiTheme="majorHAnsi" w:hAnsiTheme="majorHAnsi" w:cstheme="majorHAnsi"/>
              </w:rPr>
              <w:t>o</w:t>
            </w:r>
            <w:r>
              <w:rPr>
                <w:rFonts w:asciiTheme="majorHAnsi" w:hAnsiTheme="majorHAnsi" w:cstheme="majorHAnsi"/>
              </w:rPr>
              <w:t>mey</w:t>
            </w:r>
            <w:proofErr w:type="spellEnd"/>
            <w:r>
              <w:rPr>
                <w:rFonts w:asciiTheme="majorHAnsi" w:hAnsiTheme="majorHAnsi" w:cstheme="majorHAnsi"/>
              </w:rPr>
              <w:t xml:space="preserve">, highland, </w:t>
            </w:r>
            <w:proofErr w:type="spellStart"/>
            <w:r>
              <w:rPr>
                <w:rFonts w:asciiTheme="majorHAnsi" w:hAnsiTheme="majorHAnsi" w:cstheme="majorHAnsi"/>
              </w:rPr>
              <w:t>galloway</w:t>
            </w:r>
            <w:proofErr w:type="spellEnd"/>
            <w:r>
              <w:rPr>
                <w:rFonts w:asciiTheme="majorHAnsi" w:hAnsiTheme="majorHAnsi" w:cstheme="majorHAnsi"/>
              </w:rPr>
              <w:t xml:space="preserve">) </w:t>
            </w:r>
          </w:p>
          <w:p w14:paraId="62CCD903" w14:textId="77777777" w:rsidR="002975F4" w:rsidRDefault="002975F4">
            <w:pPr>
              <w:rPr>
                <w:rFonts w:asciiTheme="majorHAnsi" w:hAnsiTheme="majorHAnsi" w:cstheme="majorHAnsi"/>
              </w:rPr>
            </w:pPr>
          </w:p>
        </w:tc>
        <w:tc>
          <w:tcPr>
            <w:tcW w:w="1813" w:type="dxa"/>
            <w:vMerge w:val="restart"/>
          </w:tcPr>
          <w:p w14:paraId="67AE20E1" w14:textId="77777777" w:rsidR="002975F4" w:rsidRDefault="00000000">
            <w:r>
              <w:t>234 et 238 a</w:t>
            </w:r>
          </w:p>
          <w:p w14:paraId="1E304955" w14:textId="77D6BCB6" w:rsidR="002975F4" w:rsidRDefault="00000000">
            <w:r>
              <w:t xml:space="preserve">—&gt; </w:t>
            </w:r>
            <w:r w:rsidR="00D33829">
              <w:t>pâturage</w:t>
            </w:r>
            <w:r>
              <w:t xml:space="preserve"> de restauration en augmentant la pression du bétail </w:t>
            </w:r>
          </w:p>
        </w:tc>
      </w:tr>
      <w:tr w:rsidR="002975F4" w14:paraId="239A0B2C" w14:textId="77777777">
        <w:trPr>
          <w:trHeight w:val="269"/>
        </w:trPr>
        <w:tc>
          <w:tcPr>
            <w:tcW w:w="1812" w:type="dxa"/>
            <w:vMerge w:val="restart"/>
          </w:tcPr>
          <w:p w14:paraId="0CE2DD6C" w14:textId="22148A65" w:rsidR="002975F4" w:rsidRDefault="00D33829">
            <w:pPr>
              <w:rPr>
                <w:rFonts w:asciiTheme="majorHAnsi" w:hAnsiTheme="majorHAnsi" w:cstheme="majorHAnsi"/>
              </w:rPr>
            </w:pPr>
            <w:r>
              <w:rPr>
                <w:rFonts w:asciiTheme="majorHAnsi" w:hAnsiTheme="majorHAnsi" w:cstheme="majorHAnsi"/>
              </w:rPr>
              <w:t xml:space="preserve">Pâturage </w:t>
            </w:r>
          </w:p>
        </w:tc>
        <w:tc>
          <w:tcPr>
            <w:tcW w:w="1812" w:type="dxa"/>
            <w:vMerge w:val="restart"/>
          </w:tcPr>
          <w:p w14:paraId="765523C4" w14:textId="77777777" w:rsidR="002975F4" w:rsidRDefault="00000000">
            <w:pPr>
              <w:rPr>
                <w:rFonts w:asciiTheme="majorHAnsi" w:hAnsiTheme="majorHAnsi" w:cstheme="majorHAnsi"/>
              </w:rPr>
            </w:pPr>
            <w:r>
              <w:rPr>
                <w:rFonts w:asciiTheme="majorHAnsi" w:hAnsiTheme="majorHAnsi" w:cstheme="majorHAnsi"/>
              </w:rPr>
              <w:t xml:space="preserve">1er juillet au 31 octobre </w:t>
            </w:r>
          </w:p>
        </w:tc>
        <w:tc>
          <w:tcPr>
            <w:tcW w:w="1812" w:type="dxa"/>
            <w:vMerge w:val="restart"/>
          </w:tcPr>
          <w:p w14:paraId="3B4A0480" w14:textId="77777777" w:rsidR="002975F4" w:rsidRDefault="00000000">
            <w:pPr>
              <w:rPr>
                <w:rFonts w:asciiTheme="majorHAnsi" w:hAnsiTheme="majorHAnsi" w:cstheme="majorHAnsi"/>
              </w:rPr>
            </w:pPr>
            <w:r>
              <w:rPr>
                <w:rFonts w:asciiTheme="majorHAnsi" w:hAnsiTheme="majorHAnsi" w:cstheme="majorHAnsi"/>
              </w:rPr>
              <w:t xml:space="preserve">0.5 </w:t>
            </w:r>
            <w:proofErr w:type="spellStart"/>
            <w:r>
              <w:rPr>
                <w:rFonts w:asciiTheme="majorHAnsi" w:hAnsiTheme="majorHAnsi" w:cstheme="majorHAnsi"/>
              </w:rPr>
              <w:t>ugb</w:t>
            </w:r>
            <w:proofErr w:type="spellEnd"/>
            <w:r>
              <w:rPr>
                <w:rFonts w:asciiTheme="majorHAnsi" w:hAnsiTheme="majorHAnsi" w:cstheme="majorHAnsi"/>
              </w:rPr>
              <w:t xml:space="preserve">/ha /an </w:t>
            </w:r>
          </w:p>
        </w:tc>
        <w:tc>
          <w:tcPr>
            <w:tcW w:w="1813" w:type="dxa"/>
            <w:vMerge w:val="restart"/>
          </w:tcPr>
          <w:p w14:paraId="219B645D" w14:textId="7EF4744A" w:rsidR="002975F4" w:rsidRDefault="003F35A0">
            <w:pPr>
              <w:rPr>
                <w:rFonts w:asciiTheme="majorHAnsi" w:hAnsiTheme="majorHAnsi" w:cstheme="majorHAnsi"/>
              </w:rPr>
            </w:pPr>
            <w:r>
              <w:rPr>
                <w:rFonts w:asciiTheme="majorHAnsi" w:hAnsiTheme="majorHAnsi" w:cstheme="majorHAnsi"/>
              </w:rPr>
              <w:t>vaches rustiques (</w:t>
            </w:r>
            <w:proofErr w:type="spellStart"/>
            <w:r>
              <w:rPr>
                <w:rFonts w:asciiTheme="majorHAnsi" w:hAnsiTheme="majorHAnsi" w:cstheme="majorHAnsi"/>
              </w:rPr>
              <w:t>dahomey</w:t>
            </w:r>
            <w:proofErr w:type="spellEnd"/>
            <w:r>
              <w:rPr>
                <w:rFonts w:asciiTheme="majorHAnsi" w:hAnsiTheme="majorHAnsi" w:cstheme="majorHAnsi"/>
              </w:rPr>
              <w:t xml:space="preserve">, highland, </w:t>
            </w:r>
            <w:proofErr w:type="spellStart"/>
            <w:r>
              <w:rPr>
                <w:rFonts w:asciiTheme="majorHAnsi" w:hAnsiTheme="majorHAnsi" w:cstheme="majorHAnsi"/>
              </w:rPr>
              <w:t>galloway</w:t>
            </w:r>
            <w:proofErr w:type="spellEnd"/>
            <w:r>
              <w:rPr>
                <w:rFonts w:asciiTheme="majorHAnsi" w:hAnsiTheme="majorHAnsi" w:cstheme="majorHAnsi"/>
              </w:rPr>
              <w:t>)</w:t>
            </w:r>
          </w:p>
        </w:tc>
        <w:tc>
          <w:tcPr>
            <w:tcW w:w="1813" w:type="dxa"/>
            <w:vMerge w:val="restart"/>
          </w:tcPr>
          <w:p w14:paraId="616610A9" w14:textId="77777777" w:rsidR="002975F4" w:rsidRDefault="00000000">
            <w:r>
              <w:t>412.413,414</w:t>
            </w:r>
          </w:p>
        </w:tc>
      </w:tr>
    </w:tbl>
    <w:p w14:paraId="67AB6069" w14:textId="77777777" w:rsidR="002975F4" w:rsidRDefault="002975F4">
      <w:pPr>
        <w:rPr>
          <w:rFonts w:cstheme="minorHAnsi"/>
          <w:sz w:val="28"/>
          <w:szCs w:val="28"/>
        </w:rPr>
      </w:pPr>
    </w:p>
    <w:sectPr w:rsidR="002975F4">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227A" w14:textId="77777777" w:rsidR="00BE0A66" w:rsidRDefault="00BE0A66">
      <w:pPr>
        <w:spacing w:after="0" w:line="240" w:lineRule="auto"/>
      </w:pPr>
      <w:r>
        <w:separator/>
      </w:r>
    </w:p>
  </w:endnote>
  <w:endnote w:type="continuationSeparator" w:id="0">
    <w:p w14:paraId="0CF9929B" w14:textId="77777777" w:rsidR="00BE0A66" w:rsidRDefault="00BE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BC7C" w14:textId="5A02439F" w:rsidR="002975F4" w:rsidRDefault="00000000">
    <w:pPr>
      <w:pStyle w:val="Pieddepage"/>
      <w:rPr>
        <w:rFonts w:asciiTheme="majorHAnsi" w:hAnsiTheme="majorHAnsi" w:cstheme="majorHAnsi"/>
      </w:rPr>
    </w:pPr>
    <w:r>
      <w:rPr>
        <w:rFonts w:asciiTheme="majorHAnsi" w:hAnsiTheme="majorHAnsi" w:cstheme="majorHAnsi"/>
      </w:rPr>
      <w:t>ANNEXE VI : Commodat de carrière</w:t>
    </w:r>
    <w:r w:rsidR="00D33829">
      <w:rPr>
        <w:rFonts w:asciiTheme="majorHAnsi" w:hAnsiTheme="majorHAnsi" w:cstheme="majorHAnsi"/>
      </w:rPr>
      <w:t xml:space="preserve"> </w:t>
    </w:r>
    <w:r>
      <w:rPr>
        <w:rFonts w:asciiTheme="majorHAnsi" w:hAnsiTheme="majorHAnsi" w:cstheme="majorHAnsi"/>
      </w:rPr>
      <w:t xml:space="preserve">Page </w:t>
    </w:r>
    <w:r>
      <w:rPr>
        <w:rFonts w:asciiTheme="majorHAnsi" w:hAnsiTheme="majorHAnsi" w:cstheme="majorHAnsi"/>
      </w:rPr>
      <w:fldChar w:fldCharType="begin"/>
    </w:r>
    <w:r>
      <w:rPr>
        <w:rFonts w:asciiTheme="majorHAnsi" w:hAnsiTheme="majorHAnsi" w:cstheme="majorHAnsi"/>
      </w:rPr>
      <w:instrText>PAGE   \* MERGEFORMAT</w:instrText>
    </w:r>
    <w:r>
      <w:rPr>
        <w:rFonts w:asciiTheme="majorHAnsi" w:hAnsiTheme="majorHAnsi" w:cstheme="majorHAnsi"/>
      </w:rPr>
      <w:fldChar w:fldCharType="separate"/>
    </w:r>
    <w:r>
      <w:rPr>
        <w:rFonts w:asciiTheme="majorHAnsi" w:hAnsiTheme="majorHAnsi" w:cstheme="majorHAnsi"/>
        <w:lang w:val="fr-FR"/>
      </w:rPr>
      <w:t>1</w:t>
    </w:r>
    <w:r>
      <w:rPr>
        <w:rFonts w:asciiTheme="majorHAnsi" w:hAnsiTheme="majorHAnsi" w:cstheme="majorHAnsi"/>
      </w:rPr>
      <w:fldChar w:fldCharType="end"/>
    </w:r>
    <w:r>
      <w:rPr>
        <w:rFonts w:asciiTheme="majorHAnsi" w:hAnsiTheme="majorHAnsi" w:cstheme="majorHAnsi"/>
      </w:rPr>
      <w:t xml:space="preserve"> sur 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E39B" w14:textId="77777777" w:rsidR="00BE0A66" w:rsidRDefault="00BE0A66">
      <w:pPr>
        <w:spacing w:after="0" w:line="240" w:lineRule="auto"/>
      </w:pPr>
      <w:r>
        <w:separator/>
      </w:r>
    </w:p>
  </w:footnote>
  <w:footnote w:type="continuationSeparator" w:id="0">
    <w:p w14:paraId="109D41A6" w14:textId="77777777" w:rsidR="00BE0A66" w:rsidRDefault="00BE0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B608" w14:textId="77777777" w:rsidR="002975F4" w:rsidRDefault="00000000">
    <w:pPr>
      <w:pStyle w:val="En-tte"/>
      <w:jc w:val="center"/>
      <w:rPr>
        <w:rFonts w:asciiTheme="majorHAnsi" w:hAnsiTheme="majorHAnsi" w:cstheme="majorHAnsi"/>
      </w:rPr>
    </w:pPr>
    <w:r>
      <w:rPr>
        <w:rFonts w:asciiTheme="majorHAnsi" w:hAnsiTheme="majorHAnsi" w:cstheme="majorHAnsi"/>
      </w:rPr>
      <w:t>Commodat de carrière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2518"/>
    <w:multiLevelType w:val="multilevel"/>
    <w:tmpl w:val="B02AC17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F6344A"/>
    <w:multiLevelType w:val="multilevel"/>
    <w:tmpl w:val="230280E8"/>
    <w:lvl w:ilvl="0">
      <w:numFmt w:val="bullet"/>
      <w:lvlText w:val="-"/>
      <w:lvlJc w:val="left"/>
      <w:pPr>
        <w:ind w:left="1068" w:hanging="360"/>
      </w:pPr>
      <w:rPr>
        <w:rFonts w:ascii="Times New Roman" w:eastAsia="Calibri" w:hAnsi="Times New Roman" w:cs="Times New Roman" w:hint="default"/>
      </w:rPr>
    </w:lvl>
    <w:lvl w:ilvl="1">
      <w:start w:val="1"/>
      <w:numFmt w:val="bullet"/>
      <w:lvlText w:val="o"/>
      <w:lvlJc w:val="left"/>
      <w:pPr>
        <w:ind w:left="1788" w:hanging="360"/>
      </w:pPr>
      <w:rPr>
        <w:rFonts w:ascii="Courier New" w:hAnsi="Courier New" w:cs="Courier New" w:hint="default"/>
        <w:color w:val="auto"/>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14E4251F"/>
    <w:multiLevelType w:val="multilevel"/>
    <w:tmpl w:val="C354040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D45BA"/>
    <w:multiLevelType w:val="multilevel"/>
    <w:tmpl w:val="E5AE09CE"/>
    <w:lvl w:ilvl="0">
      <w:start w:val="1"/>
      <w:numFmt w:val="decimal"/>
      <w:lvlText w:val="%1"/>
      <w:lvlJc w:val="left"/>
      <w:pPr>
        <w:ind w:left="720" w:hanging="360"/>
      </w:pPr>
      <w:rPr>
        <w:rFonts w:asciiTheme="majorHAnsi" w:hAnsiTheme="majorHAnsi" w:cstheme="majorHAns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00073"/>
    <w:multiLevelType w:val="multilevel"/>
    <w:tmpl w:val="B54843B6"/>
    <w:lvl w:ilvl="0">
      <w:start w:val="1"/>
      <w:numFmt w:val="decimal"/>
      <w:lvlText w:val="%1."/>
      <w:lvlJc w:val="left"/>
      <w:pPr>
        <w:ind w:left="720" w:hanging="360"/>
      </w:pPr>
      <w:rPr>
        <w:rFonts w:asciiTheme="minorHAnsi" w:hAnsiTheme="minorHAnsi" w:cstheme="minorHAnsi" w:hint="default"/>
        <w:b/>
        <w:bCs/>
        <w:i/>
        <w:iCs/>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9D3F5E"/>
    <w:multiLevelType w:val="multilevel"/>
    <w:tmpl w:val="96FE1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843DF"/>
    <w:multiLevelType w:val="multilevel"/>
    <w:tmpl w:val="C93A2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B6826"/>
    <w:multiLevelType w:val="multilevel"/>
    <w:tmpl w:val="857E9362"/>
    <w:lvl w:ilvl="0">
      <w:start w:val="1"/>
      <w:numFmt w:val="decimal"/>
      <w:lvlText w:val="%1."/>
      <w:lvlJc w:val="left"/>
      <w:pPr>
        <w:ind w:left="720" w:hanging="360"/>
      </w:pPr>
      <w:rPr>
        <w:rFonts w:asciiTheme="minorHAnsi" w:hAnsiTheme="minorHAnsi" w:cstheme="minorHAnsi" w:hint="default"/>
        <w:b/>
        <w:bCs/>
        <w:i/>
        <w:iCs/>
        <w:color w:val="auto"/>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E242A9"/>
    <w:multiLevelType w:val="multilevel"/>
    <w:tmpl w:val="19FE728E"/>
    <w:lvl w:ilvl="0">
      <w:numFmt w:val="bullet"/>
      <w:lvlText w:val="-"/>
      <w:lvlJc w:val="left"/>
      <w:pPr>
        <w:ind w:left="1004" w:hanging="360"/>
      </w:pPr>
      <w:rPr>
        <w:rFonts w:ascii="Calibri Light" w:eastAsiaTheme="minorHAnsi" w:hAnsi="Calibri Light" w:cs="Calibri Light"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32A11216"/>
    <w:multiLevelType w:val="multilevel"/>
    <w:tmpl w:val="05666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0" w15:restartNumberingAfterBreak="0">
    <w:nsid w:val="368537CD"/>
    <w:multiLevelType w:val="multilevel"/>
    <w:tmpl w:val="5FBC2DD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027AAC"/>
    <w:multiLevelType w:val="multilevel"/>
    <w:tmpl w:val="BF1665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EC0A04"/>
    <w:multiLevelType w:val="multilevel"/>
    <w:tmpl w:val="E6028A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EC4D22"/>
    <w:multiLevelType w:val="multilevel"/>
    <w:tmpl w:val="C11A805C"/>
    <w:lvl w:ilvl="0">
      <w:start w:val="2"/>
      <w:numFmt w:val="bullet"/>
      <w:lvlText w:val="-"/>
      <w:lvlJc w:val="left"/>
      <w:pPr>
        <w:ind w:left="786" w:hanging="360"/>
      </w:pPr>
      <w:rPr>
        <w:rFonts w:ascii="Calibri Light" w:eastAsiaTheme="minorHAnsi" w:hAnsi="Calibri Light" w:cs="Calibri Light"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4" w15:restartNumberingAfterBreak="0">
    <w:nsid w:val="4D9B0AB0"/>
    <w:multiLevelType w:val="multilevel"/>
    <w:tmpl w:val="8E56EF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A41987"/>
    <w:multiLevelType w:val="multilevel"/>
    <w:tmpl w:val="E09433D2"/>
    <w:lvl w:ilvl="0">
      <w:numFmt w:val="bullet"/>
      <w:lvlText w:val="-"/>
      <w:lvlJc w:val="left"/>
      <w:pPr>
        <w:ind w:left="72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3F02D4"/>
    <w:multiLevelType w:val="multilevel"/>
    <w:tmpl w:val="20C0BEDE"/>
    <w:lvl w:ilvl="0">
      <w:start w:val="1"/>
      <w:numFmt w:val="decimal"/>
      <w:lvlText w:val="%1"/>
      <w:lvlJc w:val="left"/>
      <w:pPr>
        <w:ind w:left="720" w:hanging="360"/>
      </w:pPr>
      <w:rPr>
        <w:rFonts w:asciiTheme="majorHAnsi" w:hAnsiTheme="majorHAnsi" w:cstheme="majorHAnsi"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9241808">
    <w:abstractNumId w:val="15"/>
  </w:num>
  <w:num w:numId="2" w16cid:durableId="2122383506">
    <w:abstractNumId w:val="8"/>
  </w:num>
  <w:num w:numId="3" w16cid:durableId="27459715">
    <w:abstractNumId w:val="11"/>
  </w:num>
  <w:num w:numId="4" w16cid:durableId="1740860188">
    <w:abstractNumId w:val="7"/>
  </w:num>
  <w:num w:numId="5" w16cid:durableId="979768108">
    <w:abstractNumId w:val="5"/>
  </w:num>
  <w:num w:numId="6" w16cid:durableId="704213143">
    <w:abstractNumId w:val="6"/>
  </w:num>
  <w:num w:numId="7" w16cid:durableId="1642536844">
    <w:abstractNumId w:val="0"/>
  </w:num>
  <w:num w:numId="8" w16cid:durableId="634601927">
    <w:abstractNumId w:val="10"/>
  </w:num>
  <w:num w:numId="9" w16cid:durableId="1115174869">
    <w:abstractNumId w:val="2"/>
  </w:num>
  <w:num w:numId="10" w16cid:durableId="1114404028">
    <w:abstractNumId w:val="1"/>
  </w:num>
  <w:num w:numId="11" w16cid:durableId="182324424">
    <w:abstractNumId w:val="12"/>
  </w:num>
  <w:num w:numId="12" w16cid:durableId="1379546784">
    <w:abstractNumId w:val="13"/>
  </w:num>
  <w:num w:numId="13" w16cid:durableId="432550981">
    <w:abstractNumId w:val="14"/>
  </w:num>
  <w:num w:numId="14" w16cid:durableId="1232037884">
    <w:abstractNumId w:val="3"/>
  </w:num>
  <w:num w:numId="15" w16cid:durableId="294259807">
    <w:abstractNumId w:val="4"/>
  </w:num>
  <w:num w:numId="16" w16cid:durableId="643312033">
    <w:abstractNumId w:val="9"/>
  </w:num>
  <w:num w:numId="17" w16cid:durableId="13874850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F4"/>
    <w:rsid w:val="0001732A"/>
    <w:rsid w:val="002975F4"/>
    <w:rsid w:val="003F0F32"/>
    <w:rsid w:val="003F35A0"/>
    <w:rsid w:val="00446471"/>
    <w:rsid w:val="00BE0A66"/>
    <w:rsid w:val="00D33829"/>
    <w:rsid w:val="00FB549A"/>
    <w:rsid w:val="00FF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1659"/>
  <w15:docId w15:val="{74E82533-9D30-4B3D-B68E-BCE5069E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dnoteTextChar">
    <w:name w:val="Endnote Text Char"/>
    <w:basedOn w:val="Policepardfaut"/>
    <w:uiPriority w:val="99"/>
    <w:semiHidden/>
    <w:rPr>
      <w:sz w:val="20"/>
      <w:szCs w:val="20"/>
    </w:rPr>
  </w:style>
  <w:style w:type="character" w:styleId="Textedelespacerserv">
    <w:name w:val="Placeholder Text"/>
    <w:basedOn w:val="Policepardfaut"/>
    <w:uiPriority w:val="99"/>
    <w:semiHidden/>
    <w:rPr>
      <w:color w:val="666666"/>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B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B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F5496" w:themeColor="accent1" w:themeShade="BF"/>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Pr>
      <w:rFonts w:eastAsiaTheme="majorEastAsia" w:cstheme="majorBidi"/>
      <w:color w:val="2F5496"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styleId="Rfrenceintense">
    <w:name w:val="Intense Reference"/>
    <w:basedOn w:val="Policepardfaut"/>
    <w:uiPriority w:val="32"/>
    <w:qFormat/>
    <w:rPr>
      <w:b/>
      <w:bCs/>
      <w:smallCaps/>
      <w:color w:val="2F5496" w:themeColor="accent1" w:themeShade="BF"/>
      <w:spacing w:val="5"/>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customStyle="1" w:styleId="DR1">
    <w:name w:val="DR 1"/>
    <w:basedOn w:val="Normal"/>
    <w:link w:val="DR1Car"/>
    <w:qFormat/>
    <w:pPr>
      <w:jc w:val="center"/>
    </w:pPr>
    <w:rPr>
      <w:b/>
      <w:bCs/>
      <w:i/>
      <w:iCs/>
      <w:sz w:val="28"/>
      <w:szCs w:val="28"/>
    </w:rPr>
  </w:style>
  <w:style w:type="character" w:customStyle="1" w:styleId="DR1Car">
    <w:name w:val="DR 1 Car"/>
    <w:basedOn w:val="Policepardfaut"/>
    <w:link w:val="DR1"/>
    <w:rPr>
      <w:b/>
      <w:bCs/>
      <w:i/>
      <w:iCs/>
      <w:sz w:val="28"/>
      <w:szCs w:val="28"/>
    </w:rPr>
  </w:style>
  <w:style w:type="paragraph" w:customStyle="1" w:styleId="DR2">
    <w:name w:val="DR 2"/>
    <w:basedOn w:val="Normal"/>
    <w:link w:val="DR2Car"/>
    <w:qFormat/>
    <w:pPr>
      <w:spacing w:after="0" w:line="240" w:lineRule="auto"/>
      <w:jc w:val="center"/>
    </w:pPr>
    <w:rPr>
      <w:b/>
      <w:bCs/>
      <w:i/>
      <w:iCs/>
      <w:sz w:val="28"/>
      <w:szCs w:val="28"/>
    </w:rPr>
  </w:style>
  <w:style w:type="character" w:customStyle="1" w:styleId="DR2Car">
    <w:name w:val="DR 2 Car"/>
    <w:basedOn w:val="Policepardfaut"/>
    <w:link w:val="DR2"/>
    <w:rPr>
      <w:b/>
      <w:bCs/>
      <w:i/>
      <w:iCs/>
      <w:sz w:val="28"/>
      <w:szCs w:val="2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Sansinterligne">
    <w:name w:val="No Spacing"/>
    <w:uiPriority w:val="1"/>
    <w:qFormat/>
    <w:pPr>
      <w:spacing w:after="0" w:line="240" w:lineRule="auto"/>
      <w:jc w:val="both"/>
    </w:pPr>
    <w:rPr>
      <w:rFonts w:ascii="Times New Roman" w:eastAsia="Calibri" w:hAnsi="Times New Roman" w:cs="Times New Roman"/>
      <w:sz w:val="24"/>
      <w14:ligatures w14:val="none"/>
    </w:rPr>
  </w:style>
  <w:style w:type="paragraph" w:customStyle="1" w:styleId="article-paragraph">
    <w:name w:val="article-paragraph"/>
    <w:basedOn w:val="Normal"/>
    <w:pPr>
      <w:spacing w:before="100" w:beforeAutospacing="1" w:after="100" w:afterAutospacing="1" w:line="240" w:lineRule="auto"/>
    </w:pPr>
    <w:rPr>
      <w:rFonts w:ascii="Times New Roman" w:eastAsia="Times New Roman" w:hAnsi="Times New Roman" w:cs="Times New Roman"/>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4883-6BC1-4607-B573-BC569750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3439</Words>
  <Characters>18916</Characters>
  <Application>Microsoft Office Word</Application>
  <DocSecurity>0</DocSecurity>
  <Lines>157</Lines>
  <Paragraphs>44</Paragraphs>
  <ScaleCrop>false</ScaleCrop>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Maréchal</dc:creator>
  <cp:keywords/>
  <dc:description/>
  <cp:lastModifiedBy>WILLEM Aurélie</cp:lastModifiedBy>
  <cp:revision>2</cp:revision>
  <dcterms:created xsi:type="dcterms:W3CDTF">2026-05-11T16:06:00Z</dcterms:created>
  <dcterms:modified xsi:type="dcterms:W3CDTF">2026-05-11T16:06:00Z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2026-05-11T16:06:27Z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1bf9dfcd-35c5-41c3-ab14-663714ea53aa</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