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charts/chart4.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olors3.xml" ContentType="application/vnd.ms-office.chartcolorstyle+xml"/>
  <Override PartName="/word/charts/colors4.xml" ContentType="application/vnd.ms-office.chartcolorstyl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charts/style3.xml" ContentType="application/vnd.ms-office.chartstyle+xml"/>
  <Override PartName="/word/charts/style4.xml" ContentType="application/vnd.ms-office.chartstyle+xml"/>
  <Override PartName="/word/charts/colors1.xml" ContentType="application/vnd.ms-office.chartcolorstyle+xml"/>
  <Override PartName="/word/charts/colors2.xml" ContentType="application/vnd.ms-office.chartcolorstyle+xml"/>
  <Override PartName="/word/commentsExtended.xml" ContentType="application/vnd.openxmlformats-officedocument.wordprocessingml.commentsExtended+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Override PartName="/word/charts/style1.xml" ContentType="application/vnd.ms-office.chartstyle+xml"/>
  <Override PartName="/word/charts/style2.xml" ContentType="application/vnd.ms-office.chartstyle+xml"/>
  <Override PartName="/word/commentsIds.xml" ContentType="application/vnd.openxmlformats-officedocument.wordprocessingml.commentsId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0230" w:rsidRDefault="00F70230" w:rsidP="00F70230">
      <w:pPr>
        <w:jc w:val="center"/>
        <w:rPr>
          <w:sz w:val="32"/>
        </w:rPr>
      </w:pPr>
    </w:p>
    <w:p w:rsidR="00F70230" w:rsidRDefault="00F70230" w:rsidP="00F70230"/>
    <w:p w:rsidR="00F70230" w:rsidRDefault="00F70230" w:rsidP="00F70230">
      <w:pPr>
        <w:jc w:val="center"/>
      </w:pPr>
    </w:p>
    <w:p w:rsidR="00F70230" w:rsidRDefault="00F70230" w:rsidP="00F70230">
      <w:pPr>
        <w:jc w:val="center"/>
      </w:pPr>
    </w:p>
    <w:p w:rsidR="00F70230" w:rsidRDefault="00F70230" w:rsidP="00F70230"/>
    <w:p w:rsidR="00F70230" w:rsidRDefault="00F70230" w:rsidP="00F70230"/>
    <w:p w:rsidR="00F70230" w:rsidRDefault="00F70230" w:rsidP="00F70230"/>
    <w:p w:rsidR="00F70230" w:rsidRDefault="00F70230" w:rsidP="00F70230"/>
    <w:p w:rsidR="00F70230" w:rsidRDefault="00F70230" w:rsidP="00F70230"/>
    <w:p w:rsidR="00F70230" w:rsidRDefault="00B0240F" w:rsidP="00F70230">
      <w:pPr>
        <w:autoSpaceDE w:val="0"/>
        <w:autoSpaceDN w:val="0"/>
        <w:adjustRightInd w:val="0"/>
        <w:jc w:val="center"/>
        <w:rPr>
          <w:rFonts w:ascii="Verdana,Bold" w:hAnsi="Verdana,Bold" w:cs="Verdana,Bold"/>
          <w:b/>
          <w:bCs/>
          <w:sz w:val="40"/>
          <w:szCs w:val="40"/>
          <w:lang w:eastAsia="fr-BE"/>
        </w:rPr>
      </w:pPr>
      <w:r>
        <w:rPr>
          <w:rFonts w:ascii="Verdana,Bold" w:hAnsi="Verdana,Bold" w:cs="Verdana,Bold"/>
          <w:b/>
          <w:bCs/>
          <w:sz w:val="40"/>
          <w:szCs w:val="40"/>
          <w:lang w:eastAsia="fr-BE"/>
        </w:rPr>
        <w:t xml:space="preserve">Premiers résultats </w:t>
      </w:r>
      <w:r w:rsidR="00F14CD6">
        <w:rPr>
          <w:rFonts w:ascii="Verdana,Bold" w:hAnsi="Verdana,Bold" w:cs="Verdana,Bold"/>
          <w:b/>
          <w:bCs/>
          <w:sz w:val="40"/>
          <w:szCs w:val="40"/>
          <w:lang w:eastAsia="fr-BE"/>
        </w:rPr>
        <w:t>économiques des exploitations wallonnes en</w:t>
      </w:r>
      <w:r>
        <w:rPr>
          <w:rFonts w:ascii="Verdana,Bold" w:hAnsi="Verdana,Bold" w:cs="Verdana,Bold"/>
          <w:b/>
          <w:bCs/>
          <w:sz w:val="40"/>
          <w:szCs w:val="40"/>
          <w:lang w:eastAsia="fr-BE"/>
        </w:rPr>
        <w:t xml:space="preserve"> 201</w:t>
      </w:r>
      <w:r w:rsidR="009066A2">
        <w:rPr>
          <w:rFonts w:ascii="Verdana,Bold" w:hAnsi="Verdana,Bold" w:cs="Verdana,Bold"/>
          <w:b/>
          <w:bCs/>
          <w:sz w:val="40"/>
          <w:szCs w:val="40"/>
          <w:lang w:eastAsia="fr-BE"/>
        </w:rPr>
        <w:t>8</w:t>
      </w:r>
    </w:p>
    <w:p w:rsidR="0057209A" w:rsidRPr="0057209A" w:rsidRDefault="0057209A" w:rsidP="00F70230">
      <w:pPr>
        <w:autoSpaceDE w:val="0"/>
        <w:autoSpaceDN w:val="0"/>
        <w:adjustRightInd w:val="0"/>
        <w:jc w:val="center"/>
      </w:pPr>
      <w:r w:rsidRPr="0057209A">
        <w:rPr>
          <w:rFonts w:ascii="Verdana,Bold" w:hAnsi="Verdana,Bold" w:cs="Verdana,Bold"/>
          <w:bCs/>
          <w:lang w:eastAsia="fr-BE"/>
        </w:rPr>
        <w:t>(</w:t>
      </w:r>
      <w:r w:rsidR="00413958" w:rsidRPr="0057209A">
        <w:rPr>
          <w:rFonts w:ascii="Verdana,Bold" w:hAnsi="Verdana,Bold" w:cs="Verdana,Bold"/>
          <w:bCs/>
          <w:lang w:eastAsia="fr-BE"/>
        </w:rPr>
        <w:t>Échantillon</w:t>
      </w:r>
      <w:r w:rsidRPr="0057209A">
        <w:rPr>
          <w:rFonts w:ascii="Verdana,Bold" w:hAnsi="Verdana,Bold" w:cs="Verdana,Bold"/>
          <w:bCs/>
          <w:lang w:eastAsia="fr-BE"/>
        </w:rPr>
        <w:t xml:space="preserve"> </w:t>
      </w:r>
      <w:r>
        <w:rPr>
          <w:rFonts w:ascii="Verdana,Bold" w:hAnsi="Verdana,Bold" w:cs="Verdana,Bold"/>
          <w:bCs/>
          <w:lang w:eastAsia="fr-BE"/>
        </w:rPr>
        <w:t>de base</w:t>
      </w:r>
      <w:r w:rsidRPr="0057209A">
        <w:rPr>
          <w:rFonts w:ascii="Verdana,Bold" w:hAnsi="Verdana,Bold" w:cs="Verdana,Bold"/>
          <w:bCs/>
          <w:lang w:eastAsia="fr-BE"/>
        </w:rPr>
        <w:t xml:space="preserve"> de </w:t>
      </w:r>
      <w:r w:rsidR="009066A2">
        <w:rPr>
          <w:rFonts w:ascii="Verdana,Bold" w:hAnsi="Verdana,Bold" w:cs="Verdana,Bold"/>
          <w:bCs/>
          <w:lang w:eastAsia="fr-BE"/>
        </w:rPr>
        <w:t>1</w:t>
      </w:r>
      <w:r w:rsidR="00045F9C">
        <w:rPr>
          <w:rFonts w:ascii="Verdana,Bold" w:hAnsi="Verdana,Bold" w:cs="Verdana,Bold"/>
          <w:bCs/>
          <w:lang w:eastAsia="fr-BE"/>
        </w:rPr>
        <w:t>8</w:t>
      </w:r>
      <w:r w:rsidR="003A1E53">
        <w:rPr>
          <w:rFonts w:ascii="Verdana,Bold" w:hAnsi="Verdana,Bold" w:cs="Verdana,Bold"/>
          <w:bCs/>
          <w:lang w:eastAsia="fr-BE"/>
        </w:rPr>
        <w:t>0</w:t>
      </w:r>
      <w:r w:rsidRPr="0057209A">
        <w:rPr>
          <w:rFonts w:ascii="Verdana,Bold" w:hAnsi="Verdana,Bold" w:cs="Verdana,Bold"/>
          <w:bCs/>
          <w:lang w:eastAsia="fr-BE"/>
        </w:rPr>
        <w:t xml:space="preserve"> observations</w:t>
      </w:r>
      <w:r w:rsidR="00045F9C">
        <w:rPr>
          <w:rFonts w:ascii="Verdana,Bold" w:hAnsi="Verdana,Bold" w:cs="Verdana,Bold"/>
          <w:bCs/>
          <w:lang w:eastAsia="fr-BE"/>
        </w:rPr>
        <w:t xml:space="preserve"> du réseau DAEA)</w:t>
      </w:r>
    </w:p>
    <w:p w:rsidR="00F70230" w:rsidRDefault="00F70230" w:rsidP="00F70230">
      <w:pPr>
        <w:jc w:val="center"/>
        <w:rPr>
          <w:sz w:val="36"/>
        </w:rPr>
      </w:pPr>
    </w:p>
    <w:p w:rsidR="00F70230" w:rsidRDefault="00F70230" w:rsidP="00F70230">
      <w:pPr>
        <w:jc w:val="center"/>
        <w:rPr>
          <w:sz w:val="36"/>
        </w:rPr>
      </w:pPr>
    </w:p>
    <w:p w:rsidR="00B0240F" w:rsidRDefault="00B0240F" w:rsidP="00F70230">
      <w:pPr>
        <w:jc w:val="center"/>
        <w:rPr>
          <w:sz w:val="28"/>
          <w:szCs w:val="28"/>
        </w:rPr>
      </w:pPr>
    </w:p>
    <w:p w:rsidR="00B0240F" w:rsidRPr="00DF5EEA" w:rsidRDefault="00B0240F" w:rsidP="00F70230">
      <w:pPr>
        <w:jc w:val="center"/>
        <w:rPr>
          <w:sz w:val="28"/>
          <w:szCs w:val="28"/>
        </w:rPr>
      </w:pPr>
    </w:p>
    <w:p w:rsidR="00F70230" w:rsidRDefault="00F70230" w:rsidP="00F70230">
      <w:pPr>
        <w:jc w:val="center"/>
        <w:rPr>
          <w:sz w:val="36"/>
        </w:rPr>
      </w:pPr>
    </w:p>
    <w:p w:rsidR="00413958" w:rsidRDefault="00413958" w:rsidP="00F70230">
      <w:pPr>
        <w:rPr>
          <w:sz w:val="18"/>
        </w:rPr>
      </w:pPr>
    </w:p>
    <w:p w:rsidR="00413958" w:rsidRDefault="00413958" w:rsidP="00F70230">
      <w:pPr>
        <w:rPr>
          <w:sz w:val="18"/>
        </w:rPr>
      </w:pPr>
    </w:p>
    <w:p w:rsidR="00413958" w:rsidRDefault="00413958" w:rsidP="00F70230">
      <w:pPr>
        <w:rPr>
          <w:sz w:val="18"/>
        </w:rPr>
      </w:pPr>
    </w:p>
    <w:p w:rsidR="00F70230" w:rsidRPr="009958B9" w:rsidRDefault="00F14CD6" w:rsidP="00F70230">
      <w:pPr>
        <w:rPr>
          <w:sz w:val="18"/>
        </w:rPr>
      </w:pPr>
      <w:r>
        <w:rPr>
          <w:sz w:val="18"/>
        </w:rPr>
        <w:t>Juillet 201</w:t>
      </w:r>
      <w:r w:rsidR="00F548F9">
        <w:rPr>
          <w:sz w:val="18"/>
        </w:rPr>
        <w:t>9</w:t>
      </w:r>
    </w:p>
    <w:p w:rsidR="00F70230" w:rsidRDefault="00B0240F" w:rsidP="00F70230">
      <w:pPr>
        <w:pStyle w:val="Titre2"/>
      </w:pPr>
      <w:r>
        <w:lastRenderedPageBreak/>
        <w:t>Avertissement</w:t>
      </w:r>
    </w:p>
    <w:p w:rsidR="00B0240F" w:rsidRPr="008E4213" w:rsidRDefault="00B0240F" w:rsidP="00327B09">
      <w:pPr>
        <w:jc w:val="both"/>
        <w:rPr>
          <w:rFonts w:ascii="Verdana" w:hAnsi="Verdana"/>
          <w:sz w:val="18"/>
          <w:szCs w:val="18"/>
        </w:rPr>
      </w:pPr>
      <w:r w:rsidRPr="008E4213">
        <w:rPr>
          <w:rFonts w:ascii="Verdana" w:hAnsi="Verdana"/>
          <w:sz w:val="18"/>
          <w:szCs w:val="18"/>
        </w:rPr>
        <w:t xml:space="preserve">A partir de </w:t>
      </w:r>
      <w:r w:rsidR="00AB1A83" w:rsidRPr="008E4213">
        <w:rPr>
          <w:rFonts w:ascii="Verdana" w:hAnsi="Verdana"/>
          <w:sz w:val="18"/>
          <w:szCs w:val="18"/>
        </w:rPr>
        <w:t xml:space="preserve">quelques </w:t>
      </w:r>
      <w:r w:rsidR="00F548F9" w:rsidRPr="008E4213">
        <w:rPr>
          <w:rFonts w:ascii="Verdana" w:hAnsi="Verdana"/>
          <w:sz w:val="18"/>
          <w:szCs w:val="18"/>
        </w:rPr>
        <w:t>1</w:t>
      </w:r>
      <w:r w:rsidR="0092173F" w:rsidRPr="008E4213">
        <w:rPr>
          <w:rFonts w:ascii="Verdana" w:hAnsi="Verdana"/>
          <w:sz w:val="18"/>
          <w:szCs w:val="18"/>
        </w:rPr>
        <w:t>8</w:t>
      </w:r>
      <w:r w:rsidRPr="008E4213">
        <w:rPr>
          <w:rFonts w:ascii="Verdana" w:hAnsi="Verdana"/>
          <w:sz w:val="18"/>
          <w:szCs w:val="18"/>
        </w:rPr>
        <w:t>0 comptabilités clôturées</w:t>
      </w:r>
      <w:r w:rsidR="007167FD" w:rsidRPr="008E4213">
        <w:rPr>
          <w:rFonts w:ascii="Verdana" w:hAnsi="Verdana"/>
          <w:sz w:val="18"/>
          <w:szCs w:val="18"/>
        </w:rPr>
        <w:t xml:space="preserve"> et </w:t>
      </w:r>
      <w:r w:rsidRPr="008E4213">
        <w:rPr>
          <w:rFonts w:ascii="Verdana" w:hAnsi="Verdana"/>
          <w:sz w:val="18"/>
          <w:szCs w:val="18"/>
        </w:rPr>
        <w:t>vérifiées</w:t>
      </w:r>
      <w:r w:rsidR="005C1761" w:rsidRPr="008E4213">
        <w:rPr>
          <w:rFonts w:ascii="Verdana" w:hAnsi="Verdana"/>
          <w:sz w:val="18"/>
          <w:szCs w:val="18"/>
        </w:rPr>
        <w:t xml:space="preserve">, </w:t>
      </w:r>
      <w:r w:rsidRPr="008E4213">
        <w:rPr>
          <w:rFonts w:ascii="Verdana" w:hAnsi="Verdana"/>
          <w:sz w:val="18"/>
          <w:szCs w:val="18"/>
        </w:rPr>
        <w:t>la DAEA présente succinctement ci-après les premiers résultats de l’exercice 201</w:t>
      </w:r>
      <w:r w:rsidR="00F548F9" w:rsidRPr="008E4213">
        <w:rPr>
          <w:rFonts w:ascii="Verdana" w:hAnsi="Verdana"/>
          <w:sz w:val="18"/>
          <w:szCs w:val="18"/>
        </w:rPr>
        <w:t>8</w:t>
      </w:r>
      <w:r w:rsidRPr="008E4213">
        <w:rPr>
          <w:rFonts w:ascii="Verdana" w:hAnsi="Verdana"/>
          <w:sz w:val="18"/>
          <w:szCs w:val="18"/>
        </w:rPr>
        <w:t xml:space="preserve">. </w:t>
      </w:r>
      <w:r w:rsidR="007730EE" w:rsidRPr="008E4213">
        <w:rPr>
          <w:rFonts w:ascii="Verdana" w:hAnsi="Verdana"/>
          <w:sz w:val="18"/>
          <w:szCs w:val="18"/>
        </w:rPr>
        <w:t>Dans le même esprit que pour l’établissement des résultats définitifs</w:t>
      </w:r>
      <w:r w:rsidR="007167FD" w:rsidRPr="008E4213">
        <w:rPr>
          <w:rFonts w:ascii="Verdana" w:hAnsi="Verdana"/>
          <w:sz w:val="18"/>
          <w:szCs w:val="18"/>
        </w:rPr>
        <w:t xml:space="preserve"> qui seront disponibles en fin d</w:t>
      </w:r>
      <w:r w:rsidR="0092173F" w:rsidRPr="008E4213">
        <w:rPr>
          <w:rFonts w:ascii="Verdana" w:hAnsi="Verdana"/>
          <w:sz w:val="18"/>
          <w:szCs w:val="18"/>
        </w:rPr>
        <w:t>’</w:t>
      </w:r>
      <w:r w:rsidR="007167FD" w:rsidRPr="008E4213">
        <w:rPr>
          <w:rFonts w:ascii="Verdana" w:hAnsi="Verdana"/>
          <w:sz w:val="18"/>
          <w:szCs w:val="18"/>
        </w:rPr>
        <w:t>année</w:t>
      </w:r>
      <w:r w:rsidR="007730EE" w:rsidRPr="008E4213">
        <w:rPr>
          <w:rFonts w:ascii="Verdana" w:hAnsi="Verdana"/>
          <w:sz w:val="18"/>
          <w:szCs w:val="18"/>
        </w:rPr>
        <w:t xml:space="preserve">, les résultats </w:t>
      </w:r>
      <w:r w:rsidR="001D37A8" w:rsidRPr="008E4213">
        <w:rPr>
          <w:rFonts w:ascii="Verdana" w:hAnsi="Verdana"/>
          <w:sz w:val="18"/>
          <w:szCs w:val="18"/>
        </w:rPr>
        <w:t xml:space="preserve">exposés ci-après </w:t>
      </w:r>
      <w:r w:rsidRPr="008E4213">
        <w:rPr>
          <w:rFonts w:ascii="Verdana" w:hAnsi="Verdana"/>
          <w:sz w:val="18"/>
          <w:szCs w:val="18"/>
        </w:rPr>
        <w:t>sont des moyennes pondérées tenant compte de la</w:t>
      </w:r>
      <w:r w:rsidR="007167FD" w:rsidRPr="008E4213">
        <w:rPr>
          <w:rFonts w:ascii="Verdana" w:hAnsi="Verdana"/>
          <w:sz w:val="18"/>
          <w:szCs w:val="18"/>
        </w:rPr>
        <w:t xml:space="preserve"> composition </w:t>
      </w:r>
      <w:r w:rsidRPr="008E4213">
        <w:rPr>
          <w:rFonts w:ascii="Verdana" w:hAnsi="Verdana"/>
          <w:sz w:val="18"/>
          <w:szCs w:val="18"/>
        </w:rPr>
        <w:t>(OTE x DIMENSION)</w:t>
      </w:r>
      <w:r w:rsidR="00C32DA1" w:rsidRPr="008E4213">
        <w:rPr>
          <w:rStyle w:val="Appelnotedebasdep"/>
          <w:rFonts w:ascii="Verdana" w:hAnsi="Verdana"/>
          <w:sz w:val="18"/>
          <w:szCs w:val="18"/>
        </w:rPr>
        <w:footnoteReference w:id="1"/>
      </w:r>
      <w:r w:rsidRPr="008E4213">
        <w:rPr>
          <w:rFonts w:ascii="Verdana" w:hAnsi="Verdana"/>
          <w:sz w:val="18"/>
          <w:szCs w:val="18"/>
        </w:rPr>
        <w:t xml:space="preserve"> du champ d’observation (population des exploitations agricoles dont la dimension économique est d’au moins 25 000 € de production brute standard</w:t>
      </w:r>
      <w:r w:rsidR="001D37A8" w:rsidRPr="008E4213">
        <w:rPr>
          <w:rFonts w:ascii="Verdana" w:hAnsi="Verdana"/>
          <w:sz w:val="18"/>
          <w:szCs w:val="18"/>
        </w:rPr>
        <w:t xml:space="preserve"> totale</w:t>
      </w:r>
      <w:r w:rsidRPr="008E4213">
        <w:rPr>
          <w:rFonts w:ascii="Verdana" w:hAnsi="Verdana"/>
          <w:sz w:val="18"/>
          <w:szCs w:val="18"/>
        </w:rPr>
        <w:t>)</w:t>
      </w:r>
      <w:r w:rsidR="001D37A8" w:rsidRPr="008E4213">
        <w:rPr>
          <w:rFonts w:ascii="Verdana" w:hAnsi="Verdana"/>
          <w:sz w:val="18"/>
          <w:szCs w:val="18"/>
        </w:rPr>
        <w:t>.</w:t>
      </w:r>
      <w:r w:rsidRPr="008E4213">
        <w:rPr>
          <w:rFonts w:ascii="Verdana" w:hAnsi="Verdana"/>
          <w:sz w:val="18"/>
          <w:szCs w:val="18"/>
        </w:rPr>
        <w:t xml:space="preserve"> </w:t>
      </w:r>
      <w:r w:rsidR="001D37A8" w:rsidRPr="008E4213">
        <w:rPr>
          <w:rFonts w:ascii="Verdana" w:hAnsi="Verdana"/>
          <w:sz w:val="18"/>
          <w:szCs w:val="18"/>
        </w:rPr>
        <w:t>L</w:t>
      </w:r>
      <w:r w:rsidRPr="008E4213">
        <w:rPr>
          <w:rFonts w:ascii="Verdana" w:hAnsi="Verdana"/>
          <w:sz w:val="18"/>
          <w:szCs w:val="18"/>
        </w:rPr>
        <w:t xml:space="preserve">a brève présentation qui suit </w:t>
      </w:r>
      <w:r w:rsidR="007730EE" w:rsidRPr="008E4213">
        <w:rPr>
          <w:rFonts w:ascii="Verdana" w:hAnsi="Verdana"/>
          <w:sz w:val="18"/>
          <w:szCs w:val="18"/>
        </w:rPr>
        <w:t xml:space="preserve">concerne </w:t>
      </w:r>
      <w:r w:rsidRPr="008E4213">
        <w:rPr>
          <w:rFonts w:ascii="Verdana" w:hAnsi="Verdana"/>
          <w:sz w:val="18"/>
          <w:szCs w:val="18"/>
        </w:rPr>
        <w:t>les orientations de production pour lesquelles on dispose</w:t>
      </w:r>
      <w:r w:rsidR="001D37A8" w:rsidRPr="008E4213">
        <w:rPr>
          <w:rFonts w:ascii="Verdana" w:hAnsi="Verdana"/>
          <w:sz w:val="18"/>
          <w:szCs w:val="18"/>
        </w:rPr>
        <w:t>, à ce stade-ci,</w:t>
      </w:r>
      <w:r w:rsidRPr="008E4213">
        <w:rPr>
          <w:rFonts w:ascii="Verdana" w:hAnsi="Verdana"/>
          <w:sz w:val="18"/>
          <w:szCs w:val="18"/>
        </w:rPr>
        <w:t xml:space="preserve"> d’un nombre suffisant d’observations. En l’occurrence il s’agit des OTE </w:t>
      </w:r>
      <w:r w:rsidR="007167FD" w:rsidRPr="008E4213">
        <w:rPr>
          <w:rFonts w:ascii="Verdana" w:hAnsi="Verdana"/>
          <w:sz w:val="18"/>
          <w:szCs w:val="18"/>
        </w:rPr>
        <w:t xml:space="preserve">suivantes </w:t>
      </w:r>
      <w:r w:rsidRPr="008E4213">
        <w:rPr>
          <w:rFonts w:ascii="Verdana" w:hAnsi="Verdana"/>
          <w:sz w:val="18"/>
          <w:szCs w:val="18"/>
        </w:rPr>
        <w:t>:</w:t>
      </w:r>
    </w:p>
    <w:p w:rsidR="00B0240F" w:rsidRPr="008E4213" w:rsidRDefault="00B0240F" w:rsidP="004D4019">
      <w:pPr>
        <w:pStyle w:val="Paragraphedeliste"/>
        <w:numPr>
          <w:ilvl w:val="0"/>
          <w:numId w:val="9"/>
        </w:numPr>
        <w:spacing w:after="120"/>
        <w:jc w:val="both"/>
        <w:rPr>
          <w:rFonts w:ascii="Verdana" w:hAnsi="Verdana"/>
          <w:sz w:val="18"/>
          <w:szCs w:val="18"/>
        </w:rPr>
      </w:pPr>
      <w:r w:rsidRPr="008E4213">
        <w:rPr>
          <w:rFonts w:ascii="Verdana" w:hAnsi="Verdana"/>
          <w:sz w:val="18"/>
          <w:szCs w:val="18"/>
        </w:rPr>
        <w:t>Cultures agricoles</w:t>
      </w:r>
    </w:p>
    <w:p w:rsidR="00B0240F" w:rsidRPr="008E4213" w:rsidRDefault="00B0240F" w:rsidP="004D4019">
      <w:pPr>
        <w:pStyle w:val="Paragraphedeliste"/>
        <w:numPr>
          <w:ilvl w:val="0"/>
          <w:numId w:val="9"/>
        </w:numPr>
        <w:spacing w:after="120"/>
        <w:jc w:val="both"/>
        <w:rPr>
          <w:rFonts w:ascii="Verdana" w:hAnsi="Verdana"/>
          <w:sz w:val="18"/>
          <w:szCs w:val="18"/>
        </w:rPr>
      </w:pPr>
      <w:r w:rsidRPr="008E4213">
        <w:rPr>
          <w:rFonts w:ascii="Verdana" w:hAnsi="Verdana"/>
          <w:sz w:val="18"/>
          <w:szCs w:val="18"/>
        </w:rPr>
        <w:t>Bovins laitiers</w:t>
      </w:r>
    </w:p>
    <w:p w:rsidR="00B0240F" w:rsidRPr="008E4213" w:rsidRDefault="00B0240F" w:rsidP="004D4019">
      <w:pPr>
        <w:pStyle w:val="Paragraphedeliste"/>
        <w:numPr>
          <w:ilvl w:val="0"/>
          <w:numId w:val="9"/>
        </w:numPr>
        <w:spacing w:after="120"/>
        <w:jc w:val="both"/>
        <w:rPr>
          <w:rFonts w:ascii="Verdana" w:hAnsi="Verdana"/>
          <w:sz w:val="18"/>
          <w:szCs w:val="18"/>
        </w:rPr>
      </w:pPr>
      <w:r w:rsidRPr="008E4213">
        <w:rPr>
          <w:rFonts w:ascii="Verdana" w:hAnsi="Verdana"/>
          <w:sz w:val="18"/>
          <w:szCs w:val="18"/>
        </w:rPr>
        <w:t>Bovins viandeux</w:t>
      </w:r>
    </w:p>
    <w:p w:rsidR="007730EE" w:rsidRPr="008E4213" w:rsidRDefault="007730EE" w:rsidP="007730EE">
      <w:pPr>
        <w:jc w:val="both"/>
        <w:rPr>
          <w:rFonts w:ascii="Verdana" w:hAnsi="Verdana"/>
          <w:sz w:val="18"/>
          <w:szCs w:val="18"/>
        </w:rPr>
      </w:pPr>
      <w:r w:rsidRPr="008E4213">
        <w:rPr>
          <w:rFonts w:ascii="Verdana" w:hAnsi="Verdana"/>
          <w:sz w:val="18"/>
          <w:szCs w:val="18"/>
        </w:rPr>
        <w:t>Il convient de signaler que la population de référence ou champ d’observation relève de l’enquête agricole organisée par le SPF économie en 201</w:t>
      </w:r>
      <w:r w:rsidR="001D37A8" w:rsidRPr="008E4213">
        <w:rPr>
          <w:rFonts w:ascii="Verdana" w:hAnsi="Verdana"/>
          <w:sz w:val="18"/>
          <w:szCs w:val="18"/>
        </w:rPr>
        <w:t xml:space="preserve">6 dans le cadre de l’enquête sur la structure des exploitations agricoles et horticoles </w:t>
      </w:r>
      <w:r w:rsidR="00FF2BA1" w:rsidRPr="008E4213">
        <w:rPr>
          <w:rFonts w:ascii="Verdana" w:hAnsi="Verdana"/>
          <w:sz w:val="18"/>
          <w:szCs w:val="18"/>
        </w:rPr>
        <w:t>imposée à tous les Etats membres de l’Union par l’Office de statistique européen (EUROSTAT).</w:t>
      </w:r>
    </w:p>
    <w:p w:rsidR="008A290D" w:rsidRPr="008E4213" w:rsidRDefault="00B0240F" w:rsidP="008A290D">
      <w:pPr>
        <w:jc w:val="both"/>
        <w:rPr>
          <w:rFonts w:ascii="Verdana" w:hAnsi="Verdana"/>
          <w:sz w:val="18"/>
          <w:szCs w:val="18"/>
        </w:rPr>
      </w:pPr>
      <w:r w:rsidRPr="008E4213">
        <w:rPr>
          <w:rFonts w:ascii="Verdana" w:hAnsi="Verdana"/>
          <w:sz w:val="18"/>
          <w:szCs w:val="18"/>
        </w:rPr>
        <w:t xml:space="preserve">Le travail a été réalisé </w:t>
      </w:r>
      <w:r w:rsidR="007569DA" w:rsidRPr="008E4213">
        <w:rPr>
          <w:rFonts w:ascii="Verdana" w:hAnsi="Verdana"/>
          <w:sz w:val="18"/>
          <w:szCs w:val="18"/>
        </w:rPr>
        <w:t xml:space="preserve">à partir d’un fichier </w:t>
      </w:r>
      <w:r w:rsidR="0057209A" w:rsidRPr="008E4213">
        <w:rPr>
          <w:rFonts w:ascii="Verdana" w:hAnsi="Verdana"/>
          <w:sz w:val="18"/>
          <w:szCs w:val="18"/>
        </w:rPr>
        <w:t xml:space="preserve">de base </w:t>
      </w:r>
      <w:r w:rsidR="007167FD" w:rsidRPr="008E4213">
        <w:rPr>
          <w:rFonts w:ascii="Verdana" w:hAnsi="Verdana"/>
          <w:sz w:val="18"/>
          <w:szCs w:val="18"/>
        </w:rPr>
        <w:t>a</w:t>
      </w:r>
      <w:r w:rsidR="0057209A" w:rsidRPr="008E4213">
        <w:rPr>
          <w:rFonts w:ascii="Verdana" w:hAnsi="Verdana"/>
          <w:sz w:val="18"/>
          <w:szCs w:val="18"/>
        </w:rPr>
        <w:t xml:space="preserve">rrêté </w:t>
      </w:r>
      <w:r w:rsidR="00AB1A83" w:rsidRPr="008E4213">
        <w:rPr>
          <w:rFonts w:ascii="Verdana" w:hAnsi="Verdana"/>
          <w:sz w:val="18"/>
          <w:szCs w:val="18"/>
        </w:rPr>
        <w:t xml:space="preserve">au </w:t>
      </w:r>
      <w:r w:rsidR="003A1E53" w:rsidRPr="008E4213">
        <w:rPr>
          <w:rFonts w:ascii="Verdana" w:hAnsi="Verdana"/>
          <w:sz w:val="18"/>
          <w:szCs w:val="18"/>
        </w:rPr>
        <w:t>1</w:t>
      </w:r>
      <w:r w:rsidR="00F548F9" w:rsidRPr="008E4213">
        <w:rPr>
          <w:rFonts w:ascii="Verdana" w:hAnsi="Verdana"/>
          <w:sz w:val="18"/>
          <w:szCs w:val="18"/>
        </w:rPr>
        <w:t>6</w:t>
      </w:r>
      <w:r w:rsidR="0057209A" w:rsidRPr="008E4213">
        <w:rPr>
          <w:rFonts w:ascii="Verdana" w:hAnsi="Verdana"/>
          <w:sz w:val="18"/>
          <w:szCs w:val="18"/>
        </w:rPr>
        <w:t xml:space="preserve"> juillet 201</w:t>
      </w:r>
      <w:r w:rsidR="00F548F9" w:rsidRPr="008E4213">
        <w:rPr>
          <w:rFonts w:ascii="Verdana" w:hAnsi="Verdana"/>
          <w:sz w:val="18"/>
          <w:szCs w:val="18"/>
        </w:rPr>
        <w:t>9</w:t>
      </w:r>
      <w:r w:rsidR="0057209A" w:rsidRPr="008E4213">
        <w:rPr>
          <w:rFonts w:ascii="Verdana" w:hAnsi="Verdana"/>
          <w:sz w:val="18"/>
          <w:szCs w:val="18"/>
        </w:rPr>
        <w:t xml:space="preserve">. Il s’agit d’un échantillon brut constitué de façon chronologique au fur et à mesure du dépôt </w:t>
      </w:r>
      <w:r w:rsidR="007167FD" w:rsidRPr="008E4213">
        <w:rPr>
          <w:rFonts w:ascii="Verdana" w:hAnsi="Verdana"/>
          <w:sz w:val="18"/>
          <w:szCs w:val="18"/>
        </w:rPr>
        <w:t xml:space="preserve">des dossiers et des caractéristiques qu’ils contiennent </w:t>
      </w:r>
      <w:r w:rsidR="0057209A" w:rsidRPr="008E4213">
        <w:rPr>
          <w:rFonts w:ascii="Verdana" w:hAnsi="Verdana"/>
          <w:sz w:val="18"/>
          <w:szCs w:val="18"/>
        </w:rPr>
        <w:t xml:space="preserve">dans la base de données. </w:t>
      </w:r>
      <w:r w:rsidR="007167FD" w:rsidRPr="008E4213">
        <w:rPr>
          <w:rFonts w:ascii="Verdana" w:hAnsi="Verdana"/>
          <w:sz w:val="18"/>
          <w:szCs w:val="18"/>
        </w:rPr>
        <w:t xml:space="preserve">Il n’est dès lors pas surprenant que cette base de données </w:t>
      </w:r>
      <w:r w:rsidR="00AB1A83" w:rsidRPr="008E4213">
        <w:rPr>
          <w:rFonts w:ascii="Verdana" w:hAnsi="Verdana"/>
          <w:sz w:val="18"/>
          <w:szCs w:val="18"/>
        </w:rPr>
        <w:t>pr</w:t>
      </w:r>
      <w:r w:rsidR="00877AC1" w:rsidRPr="008E4213">
        <w:rPr>
          <w:rFonts w:ascii="Verdana" w:hAnsi="Verdana"/>
          <w:sz w:val="18"/>
          <w:szCs w:val="18"/>
        </w:rPr>
        <w:t>imitive</w:t>
      </w:r>
      <w:r w:rsidR="00AB1A83" w:rsidRPr="008E4213">
        <w:rPr>
          <w:rFonts w:ascii="Verdana" w:hAnsi="Verdana"/>
          <w:sz w:val="18"/>
          <w:szCs w:val="18"/>
        </w:rPr>
        <w:t xml:space="preserve"> </w:t>
      </w:r>
      <w:r w:rsidR="007167FD" w:rsidRPr="008E4213">
        <w:rPr>
          <w:rFonts w:ascii="Verdana" w:hAnsi="Verdana"/>
          <w:sz w:val="18"/>
          <w:szCs w:val="18"/>
        </w:rPr>
        <w:t xml:space="preserve">ne </w:t>
      </w:r>
      <w:r w:rsidR="00AB1A83" w:rsidRPr="008E4213">
        <w:rPr>
          <w:rFonts w:ascii="Verdana" w:hAnsi="Verdana"/>
          <w:sz w:val="18"/>
          <w:szCs w:val="18"/>
        </w:rPr>
        <w:t>soit pas le reflet fidèle d</w:t>
      </w:r>
      <w:r w:rsidR="0057209A" w:rsidRPr="008E4213">
        <w:rPr>
          <w:rFonts w:ascii="Verdana" w:hAnsi="Verdana"/>
          <w:sz w:val="18"/>
          <w:szCs w:val="18"/>
        </w:rPr>
        <w:t>u plan de sélection</w:t>
      </w:r>
      <w:r w:rsidR="0051238E" w:rsidRPr="008E4213">
        <w:rPr>
          <w:rFonts w:ascii="Verdana" w:hAnsi="Verdana"/>
          <w:sz w:val="18"/>
          <w:szCs w:val="18"/>
        </w:rPr>
        <w:t xml:space="preserve"> </w:t>
      </w:r>
      <w:r w:rsidR="007167FD" w:rsidRPr="008E4213">
        <w:rPr>
          <w:rFonts w:ascii="Verdana" w:hAnsi="Verdana"/>
          <w:sz w:val="18"/>
          <w:szCs w:val="18"/>
        </w:rPr>
        <w:t xml:space="preserve">d’exploitations </w:t>
      </w:r>
      <w:r w:rsidR="0051238E" w:rsidRPr="008E4213">
        <w:rPr>
          <w:rFonts w:ascii="Verdana" w:hAnsi="Verdana"/>
          <w:sz w:val="18"/>
          <w:szCs w:val="18"/>
        </w:rPr>
        <w:t xml:space="preserve">transmis au </w:t>
      </w:r>
      <w:r w:rsidR="007167FD" w:rsidRPr="008E4213">
        <w:rPr>
          <w:rFonts w:ascii="Verdana" w:hAnsi="Verdana"/>
          <w:sz w:val="18"/>
          <w:szCs w:val="18"/>
        </w:rPr>
        <w:t>Réseau d’Information comptable agricole européen (</w:t>
      </w:r>
      <w:r w:rsidR="0051238E" w:rsidRPr="008E4213">
        <w:rPr>
          <w:rFonts w:ascii="Verdana" w:hAnsi="Verdana"/>
          <w:sz w:val="18"/>
          <w:szCs w:val="18"/>
        </w:rPr>
        <w:t>RICA</w:t>
      </w:r>
      <w:r w:rsidR="007167FD" w:rsidRPr="008E4213">
        <w:rPr>
          <w:rFonts w:ascii="Verdana" w:hAnsi="Verdana"/>
          <w:sz w:val="18"/>
          <w:szCs w:val="18"/>
        </w:rPr>
        <w:t>)</w:t>
      </w:r>
      <w:r w:rsidR="00A5407D" w:rsidRPr="008E4213">
        <w:rPr>
          <w:rFonts w:ascii="Verdana" w:hAnsi="Verdana"/>
          <w:sz w:val="18"/>
          <w:szCs w:val="18"/>
        </w:rPr>
        <w:t>.</w:t>
      </w:r>
      <w:r w:rsidR="0051238E" w:rsidRPr="008E4213">
        <w:rPr>
          <w:rFonts w:ascii="Verdana" w:hAnsi="Verdana"/>
          <w:sz w:val="18"/>
          <w:szCs w:val="18"/>
        </w:rPr>
        <w:t xml:space="preserve"> </w:t>
      </w:r>
      <w:r w:rsidR="00A5407D" w:rsidRPr="008E4213">
        <w:rPr>
          <w:rFonts w:ascii="Verdana" w:hAnsi="Verdana"/>
          <w:sz w:val="18"/>
          <w:szCs w:val="18"/>
        </w:rPr>
        <w:t>E</w:t>
      </w:r>
      <w:r w:rsidR="007167FD" w:rsidRPr="008E4213">
        <w:rPr>
          <w:rFonts w:ascii="Verdana" w:hAnsi="Verdana"/>
          <w:sz w:val="18"/>
          <w:szCs w:val="18"/>
        </w:rPr>
        <w:t>n l’occurrence,</w:t>
      </w:r>
      <w:r w:rsidR="0051238E" w:rsidRPr="008E4213">
        <w:rPr>
          <w:rFonts w:ascii="Verdana" w:hAnsi="Verdana"/>
          <w:sz w:val="18"/>
          <w:szCs w:val="18"/>
        </w:rPr>
        <w:t xml:space="preserve"> </w:t>
      </w:r>
      <w:r w:rsidR="00AB1A83" w:rsidRPr="008E4213">
        <w:rPr>
          <w:rFonts w:ascii="Verdana" w:hAnsi="Verdana"/>
          <w:sz w:val="18"/>
          <w:szCs w:val="18"/>
        </w:rPr>
        <w:t xml:space="preserve">la base de données </w:t>
      </w:r>
      <w:r w:rsidR="0051238E" w:rsidRPr="008E4213">
        <w:rPr>
          <w:rFonts w:ascii="Verdana" w:hAnsi="Verdana"/>
          <w:sz w:val="18"/>
          <w:szCs w:val="18"/>
        </w:rPr>
        <w:t>comprend une proportion trop élevée de fermes spécialisées en élevage bovin</w:t>
      </w:r>
      <w:r w:rsidR="00A5407D" w:rsidRPr="008E4213">
        <w:rPr>
          <w:rFonts w:ascii="Verdana" w:hAnsi="Verdana"/>
          <w:sz w:val="18"/>
          <w:szCs w:val="18"/>
        </w:rPr>
        <w:t xml:space="preserve"> par rapport aux autres</w:t>
      </w:r>
      <w:r w:rsidR="0051238E" w:rsidRPr="008E4213">
        <w:rPr>
          <w:rFonts w:ascii="Verdana" w:hAnsi="Verdana"/>
          <w:sz w:val="18"/>
          <w:szCs w:val="18"/>
        </w:rPr>
        <w:t xml:space="preserve">. Lorsque l’ensemble des comptabilités du réseau </w:t>
      </w:r>
      <w:r w:rsidR="00877AC1" w:rsidRPr="008E4213">
        <w:rPr>
          <w:rFonts w:ascii="Verdana" w:hAnsi="Verdana"/>
          <w:sz w:val="18"/>
          <w:szCs w:val="18"/>
        </w:rPr>
        <w:t xml:space="preserve">de la DAEA </w:t>
      </w:r>
      <w:r w:rsidR="0051238E" w:rsidRPr="008E4213">
        <w:rPr>
          <w:rFonts w:ascii="Verdana" w:hAnsi="Verdana"/>
          <w:sz w:val="18"/>
          <w:szCs w:val="18"/>
        </w:rPr>
        <w:t xml:space="preserve">auront été versées dans </w:t>
      </w:r>
      <w:r w:rsidR="00AB1A83" w:rsidRPr="008E4213">
        <w:rPr>
          <w:rFonts w:ascii="Verdana" w:hAnsi="Verdana"/>
          <w:sz w:val="18"/>
          <w:szCs w:val="18"/>
        </w:rPr>
        <w:t>cette</w:t>
      </w:r>
      <w:r w:rsidR="0051238E" w:rsidRPr="008E4213">
        <w:rPr>
          <w:rFonts w:ascii="Verdana" w:hAnsi="Verdana"/>
          <w:sz w:val="18"/>
          <w:szCs w:val="18"/>
        </w:rPr>
        <w:t xml:space="preserve"> base de données, l’échantillon mis en œuvre pour l’établissement du rapport annuel sur l’évolution de l’économie agricole et horticole en Wallonie sera en phase avec le plan de sélection cité plus haut.</w:t>
      </w:r>
    </w:p>
    <w:p w:rsidR="00C456C5" w:rsidRDefault="00C456C5" w:rsidP="008A290D">
      <w:pPr>
        <w:pStyle w:val="Titre2"/>
      </w:pPr>
      <w:r>
        <w:t xml:space="preserve">Les premières </w:t>
      </w:r>
      <w:r w:rsidR="009A7C0B">
        <w:t xml:space="preserve">constatations </w:t>
      </w:r>
      <w:r>
        <w:t>pour 201</w:t>
      </w:r>
      <w:r w:rsidR="0094654F">
        <w:t>8</w:t>
      </w:r>
    </w:p>
    <w:p w:rsidR="0092173F" w:rsidRDefault="00321953" w:rsidP="00D51931">
      <w:pPr>
        <w:jc w:val="both"/>
        <w:rPr>
          <w:rFonts w:ascii="Verdana" w:hAnsi="Verdana"/>
          <w:color w:val="000000" w:themeColor="text1"/>
          <w:sz w:val="20"/>
          <w:szCs w:val="20"/>
        </w:rPr>
      </w:pPr>
      <w:r>
        <w:rPr>
          <w:rFonts w:ascii="Verdana" w:hAnsi="Verdana"/>
          <w:sz w:val="20"/>
          <w:szCs w:val="20"/>
        </w:rPr>
        <w:t>Globalement</w:t>
      </w:r>
      <w:r w:rsidR="00F815A6">
        <w:rPr>
          <w:rFonts w:ascii="Verdana" w:hAnsi="Verdana"/>
          <w:color w:val="000000" w:themeColor="text1"/>
          <w:sz w:val="20"/>
          <w:szCs w:val="20"/>
        </w:rPr>
        <w:t>,</w:t>
      </w:r>
      <w:r w:rsidR="0092173F" w:rsidRPr="002E0732">
        <w:rPr>
          <w:rFonts w:ascii="Verdana" w:hAnsi="Verdana"/>
          <w:color w:val="000000" w:themeColor="text1"/>
          <w:sz w:val="20"/>
          <w:szCs w:val="20"/>
        </w:rPr>
        <w:t xml:space="preserve"> </w:t>
      </w:r>
      <w:r w:rsidR="0092173F">
        <w:rPr>
          <w:rFonts w:ascii="Verdana" w:hAnsi="Verdana"/>
          <w:color w:val="000000" w:themeColor="text1"/>
          <w:sz w:val="20"/>
          <w:szCs w:val="20"/>
        </w:rPr>
        <w:t>l’année 201</w:t>
      </w:r>
      <w:r w:rsidR="00806A75">
        <w:rPr>
          <w:rFonts w:ascii="Verdana" w:hAnsi="Verdana"/>
          <w:color w:val="000000" w:themeColor="text1"/>
          <w:sz w:val="20"/>
          <w:szCs w:val="20"/>
        </w:rPr>
        <w:t xml:space="preserve">8 n’augure rien de très </w:t>
      </w:r>
      <w:r w:rsidR="0094654F">
        <w:rPr>
          <w:rFonts w:ascii="Verdana" w:hAnsi="Verdana"/>
          <w:color w:val="000000" w:themeColor="text1"/>
          <w:sz w:val="20"/>
          <w:szCs w:val="20"/>
        </w:rPr>
        <w:t>exceptionnel</w:t>
      </w:r>
      <w:r w:rsidR="00806A75">
        <w:rPr>
          <w:rFonts w:ascii="Verdana" w:hAnsi="Verdana"/>
          <w:color w:val="000000" w:themeColor="text1"/>
          <w:sz w:val="20"/>
          <w:szCs w:val="20"/>
        </w:rPr>
        <w:t xml:space="preserve"> pour les agriculteurs. Seules les exploitations </w:t>
      </w:r>
      <w:r w:rsidR="0058725E">
        <w:rPr>
          <w:rFonts w:ascii="Verdana" w:hAnsi="Verdana"/>
          <w:color w:val="000000" w:themeColor="text1"/>
          <w:sz w:val="20"/>
          <w:szCs w:val="20"/>
        </w:rPr>
        <w:t xml:space="preserve">spécialisées en </w:t>
      </w:r>
      <w:r w:rsidR="00806A75">
        <w:rPr>
          <w:rFonts w:ascii="Verdana" w:hAnsi="Verdana"/>
          <w:color w:val="000000" w:themeColor="text1"/>
          <w:sz w:val="20"/>
          <w:szCs w:val="20"/>
        </w:rPr>
        <w:t xml:space="preserve">grandes cultures voient leur </w:t>
      </w:r>
      <w:r w:rsidR="0058725E">
        <w:rPr>
          <w:rFonts w:ascii="Verdana" w:hAnsi="Verdana"/>
          <w:color w:val="000000" w:themeColor="text1"/>
          <w:sz w:val="20"/>
          <w:szCs w:val="20"/>
        </w:rPr>
        <w:t>r</w:t>
      </w:r>
      <w:r w:rsidR="00806A75">
        <w:rPr>
          <w:rFonts w:ascii="Verdana" w:hAnsi="Verdana"/>
          <w:color w:val="000000" w:themeColor="text1"/>
          <w:sz w:val="20"/>
          <w:szCs w:val="20"/>
        </w:rPr>
        <w:t>evenu augmenter</w:t>
      </w:r>
      <w:r w:rsidR="004A5E87">
        <w:rPr>
          <w:rFonts w:ascii="Verdana" w:hAnsi="Verdana"/>
          <w:color w:val="000000" w:themeColor="text1"/>
          <w:sz w:val="20"/>
          <w:szCs w:val="20"/>
        </w:rPr>
        <w:t xml:space="preserve"> s</w:t>
      </w:r>
      <w:r w:rsidR="0058725E">
        <w:rPr>
          <w:rFonts w:ascii="Verdana" w:hAnsi="Verdana"/>
          <w:color w:val="000000" w:themeColor="text1"/>
          <w:sz w:val="20"/>
          <w:szCs w:val="20"/>
        </w:rPr>
        <w:t>ensiblement</w:t>
      </w:r>
      <w:r w:rsidR="00806A75">
        <w:rPr>
          <w:rFonts w:ascii="Verdana" w:hAnsi="Verdana"/>
          <w:color w:val="000000" w:themeColor="text1"/>
          <w:sz w:val="20"/>
          <w:szCs w:val="20"/>
        </w:rPr>
        <w:t xml:space="preserve">. </w:t>
      </w:r>
      <w:r w:rsidR="004A5E87">
        <w:rPr>
          <w:rFonts w:ascii="Verdana" w:hAnsi="Verdana"/>
          <w:color w:val="000000" w:themeColor="text1"/>
          <w:sz w:val="20"/>
          <w:szCs w:val="20"/>
        </w:rPr>
        <w:t>Contrairement aux</w:t>
      </w:r>
      <w:r w:rsidR="00806A75">
        <w:rPr>
          <w:rFonts w:ascii="Verdana" w:hAnsi="Verdana"/>
          <w:color w:val="000000" w:themeColor="text1"/>
          <w:sz w:val="20"/>
          <w:szCs w:val="20"/>
        </w:rPr>
        <w:t xml:space="preserve"> exploitations </w:t>
      </w:r>
      <w:r w:rsidR="0094654F">
        <w:rPr>
          <w:rFonts w:ascii="Verdana" w:hAnsi="Verdana"/>
          <w:color w:val="000000" w:themeColor="text1"/>
          <w:sz w:val="20"/>
          <w:szCs w:val="20"/>
        </w:rPr>
        <w:t>laitières</w:t>
      </w:r>
      <w:r w:rsidR="004A5E87">
        <w:rPr>
          <w:rFonts w:ascii="Verdana" w:hAnsi="Verdana"/>
          <w:color w:val="000000" w:themeColor="text1"/>
          <w:sz w:val="20"/>
          <w:szCs w:val="20"/>
        </w:rPr>
        <w:t xml:space="preserve"> </w:t>
      </w:r>
      <w:r>
        <w:rPr>
          <w:rFonts w:ascii="Verdana" w:hAnsi="Verdana"/>
          <w:color w:val="000000" w:themeColor="text1"/>
          <w:sz w:val="20"/>
          <w:szCs w:val="20"/>
        </w:rPr>
        <w:t xml:space="preserve">qui voient </w:t>
      </w:r>
      <w:r w:rsidR="004A5E87">
        <w:rPr>
          <w:rFonts w:ascii="Verdana" w:hAnsi="Verdana"/>
          <w:color w:val="000000" w:themeColor="text1"/>
          <w:sz w:val="20"/>
          <w:szCs w:val="20"/>
        </w:rPr>
        <w:t>le</w:t>
      </w:r>
      <w:r>
        <w:rPr>
          <w:rFonts w:ascii="Verdana" w:hAnsi="Verdana"/>
          <w:color w:val="000000" w:themeColor="text1"/>
          <w:sz w:val="20"/>
          <w:szCs w:val="20"/>
        </w:rPr>
        <w:t>ur</w:t>
      </w:r>
      <w:r w:rsidR="004A5E87">
        <w:rPr>
          <w:rFonts w:ascii="Verdana" w:hAnsi="Verdana"/>
          <w:color w:val="000000" w:themeColor="text1"/>
          <w:sz w:val="20"/>
          <w:szCs w:val="20"/>
        </w:rPr>
        <w:t xml:space="preserve"> revenu</w:t>
      </w:r>
      <w:r w:rsidR="00806A75">
        <w:rPr>
          <w:rFonts w:ascii="Verdana" w:hAnsi="Verdana"/>
          <w:color w:val="000000" w:themeColor="text1"/>
          <w:sz w:val="20"/>
          <w:szCs w:val="20"/>
        </w:rPr>
        <w:t xml:space="preserve"> chute</w:t>
      </w:r>
      <w:r>
        <w:rPr>
          <w:rFonts w:ascii="Verdana" w:hAnsi="Verdana"/>
          <w:color w:val="000000" w:themeColor="text1"/>
          <w:sz w:val="20"/>
          <w:szCs w:val="20"/>
        </w:rPr>
        <w:t>r</w:t>
      </w:r>
      <w:r w:rsidR="0094654F">
        <w:rPr>
          <w:rFonts w:ascii="Verdana" w:hAnsi="Verdana"/>
          <w:color w:val="000000" w:themeColor="text1"/>
          <w:sz w:val="20"/>
          <w:szCs w:val="20"/>
        </w:rPr>
        <w:t xml:space="preserve"> de près de 40%</w:t>
      </w:r>
      <w:r>
        <w:rPr>
          <w:rFonts w:ascii="Verdana" w:hAnsi="Verdana"/>
          <w:color w:val="000000" w:themeColor="text1"/>
          <w:sz w:val="20"/>
          <w:szCs w:val="20"/>
        </w:rPr>
        <w:t>,</w:t>
      </w:r>
      <w:r w:rsidR="0094654F">
        <w:rPr>
          <w:rFonts w:ascii="Verdana" w:hAnsi="Verdana"/>
          <w:color w:val="000000" w:themeColor="text1"/>
          <w:sz w:val="20"/>
          <w:szCs w:val="20"/>
        </w:rPr>
        <w:t xml:space="preserve"> après une année 2017 </w:t>
      </w:r>
      <w:r w:rsidR="0058725E">
        <w:rPr>
          <w:rFonts w:ascii="Verdana" w:hAnsi="Verdana"/>
          <w:color w:val="000000" w:themeColor="text1"/>
          <w:sz w:val="20"/>
          <w:szCs w:val="20"/>
        </w:rPr>
        <w:t xml:space="preserve">très </w:t>
      </w:r>
      <w:r w:rsidR="004A5E87">
        <w:rPr>
          <w:rFonts w:ascii="Verdana" w:hAnsi="Verdana"/>
          <w:color w:val="000000" w:themeColor="text1"/>
          <w:sz w:val="20"/>
          <w:szCs w:val="20"/>
        </w:rPr>
        <w:t>favorable</w:t>
      </w:r>
      <w:r w:rsidR="0094654F">
        <w:rPr>
          <w:rFonts w:ascii="Verdana" w:hAnsi="Verdana"/>
          <w:color w:val="000000" w:themeColor="text1"/>
          <w:sz w:val="20"/>
          <w:szCs w:val="20"/>
        </w:rPr>
        <w:t>. P</w:t>
      </w:r>
      <w:r w:rsidR="00F41848">
        <w:rPr>
          <w:rFonts w:ascii="Verdana" w:hAnsi="Verdana"/>
          <w:color w:val="000000" w:themeColor="text1"/>
          <w:sz w:val="20"/>
          <w:szCs w:val="20"/>
        </w:rPr>
        <w:t xml:space="preserve">our les </w:t>
      </w:r>
      <w:r w:rsidR="0058725E">
        <w:rPr>
          <w:rFonts w:ascii="Verdana" w:hAnsi="Verdana"/>
          <w:color w:val="000000" w:themeColor="text1"/>
          <w:sz w:val="20"/>
          <w:szCs w:val="20"/>
        </w:rPr>
        <w:t xml:space="preserve">exploitations spécialisées en </w:t>
      </w:r>
      <w:r w:rsidR="00F41848">
        <w:rPr>
          <w:rFonts w:ascii="Verdana" w:hAnsi="Verdana"/>
          <w:color w:val="000000" w:themeColor="text1"/>
          <w:sz w:val="20"/>
          <w:szCs w:val="20"/>
        </w:rPr>
        <w:t>viande bovine</w:t>
      </w:r>
      <w:r w:rsidR="0094654F">
        <w:rPr>
          <w:rFonts w:ascii="Verdana" w:hAnsi="Verdana"/>
          <w:color w:val="000000" w:themeColor="text1"/>
          <w:sz w:val="20"/>
          <w:szCs w:val="20"/>
        </w:rPr>
        <w:t>,</w:t>
      </w:r>
      <w:r w:rsidR="00F41848">
        <w:rPr>
          <w:rFonts w:ascii="Verdana" w:hAnsi="Verdana"/>
          <w:color w:val="000000" w:themeColor="text1"/>
          <w:sz w:val="20"/>
          <w:szCs w:val="20"/>
        </w:rPr>
        <w:t xml:space="preserve"> un</w:t>
      </w:r>
      <w:r w:rsidR="0094654F">
        <w:rPr>
          <w:rFonts w:ascii="Verdana" w:hAnsi="Verdana"/>
          <w:color w:val="000000" w:themeColor="text1"/>
          <w:sz w:val="20"/>
          <w:szCs w:val="20"/>
        </w:rPr>
        <w:t xml:space="preserve">e </w:t>
      </w:r>
      <w:r w:rsidR="0058725E">
        <w:rPr>
          <w:rFonts w:ascii="Verdana" w:hAnsi="Verdana"/>
          <w:color w:val="000000" w:themeColor="text1"/>
          <w:sz w:val="20"/>
          <w:szCs w:val="20"/>
        </w:rPr>
        <w:t xml:space="preserve">légère </w:t>
      </w:r>
      <w:r w:rsidR="0094654F">
        <w:rPr>
          <w:rFonts w:ascii="Verdana" w:hAnsi="Verdana"/>
          <w:color w:val="000000" w:themeColor="text1"/>
          <w:sz w:val="20"/>
          <w:szCs w:val="20"/>
        </w:rPr>
        <w:t>augmentation du</w:t>
      </w:r>
      <w:r w:rsidR="00F41848">
        <w:rPr>
          <w:rFonts w:ascii="Verdana" w:hAnsi="Verdana"/>
          <w:color w:val="000000" w:themeColor="text1"/>
          <w:sz w:val="20"/>
          <w:szCs w:val="20"/>
        </w:rPr>
        <w:t xml:space="preserve"> </w:t>
      </w:r>
      <w:r w:rsidR="00135AF1">
        <w:rPr>
          <w:rFonts w:ascii="Verdana" w:hAnsi="Verdana"/>
          <w:color w:val="000000" w:themeColor="text1"/>
          <w:sz w:val="20"/>
          <w:szCs w:val="20"/>
        </w:rPr>
        <w:t xml:space="preserve">revenu </w:t>
      </w:r>
      <w:r w:rsidR="0094654F">
        <w:rPr>
          <w:rFonts w:ascii="Verdana" w:hAnsi="Verdana"/>
          <w:color w:val="000000" w:themeColor="text1"/>
          <w:sz w:val="20"/>
          <w:szCs w:val="20"/>
        </w:rPr>
        <w:t>est observé</w:t>
      </w:r>
      <w:r w:rsidR="001B0B38">
        <w:rPr>
          <w:rFonts w:ascii="Verdana" w:hAnsi="Verdana"/>
          <w:color w:val="000000" w:themeColor="text1"/>
          <w:sz w:val="20"/>
          <w:szCs w:val="20"/>
        </w:rPr>
        <w:t>e</w:t>
      </w:r>
      <w:r w:rsidR="0058725E">
        <w:rPr>
          <w:rFonts w:ascii="Verdana" w:hAnsi="Verdana"/>
          <w:color w:val="000000" w:themeColor="text1"/>
          <w:sz w:val="20"/>
          <w:szCs w:val="20"/>
        </w:rPr>
        <w:t xml:space="preserve"> par rapport à </w:t>
      </w:r>
      <w:r w:rsidR="0094654F">
        <w:rPr>
          <w:rFonts w:ascii="Verdana" w:hAnsi="Verdana"/>
          <w:color w:val="000000" w:themeColor="text1"/>
          <w:sz w:val="20"/>
          <w:szCs w:val="20"/>
        </w:rPr>
        <w:t>2017</w:t>
      </w:r>
      <w:r w:rsidR="0058725E">
        <w:rPr>
          <w:rFonts w:ascii="Verdana" w:hAnsi="Verdana"/>
          <w:color w:val="000000" w:themeColor="text1"/>
          <w:sz w:val="20"/>
          <w:szCs w:val="20"/>
        </w:rPr>
        <w:t>,</w:t>
      </w:r>
      <w:r w:rsidR="0094654F">
        <w:rPr>
          <w:rFonts w:ascii="Verdana" w:hAnsi="Verdana"/>
          <w:color w:val="000000" w:themeColor="text1"/>
          <w:sz w:val="20"/>
          <w:szCs w:val="20"/>
        </w:rPr>
        <w:t xml:space="preserve"> </w:t>
      </w:r>
      <w:r w:rsidR="0058725E">
        <w:rPr>
          <w:rFonts w:ascii="Verdana" w:hAnsi="Verdana"/>
          <w:color w:val="000000" w:themeColor="text1"/>
          <w:sz w:val="20"/>
          <w:szCs w:val="20"/>
        </w:rPr>
        <w:t>année particulièrement sombre pour l</w:t>
      </w:r>
      <w:r>
        <w:rPr>
          <w:rFonts w:ascii="Verdana" w:hAnsi="Verdana"/>
          <w:color w:val="000000" w:themeColor="text1"/>
          <w:sz w:val="20"/>
          <w:szCs w:val="20"/>
        </w:rPr>
        <w:t>e</w:t>
      </w:r>
      <w:r w:rsidR="00FF663B">
        <w:rPr>
          <w:rFonts w:ascii="Verdana" w:hAnsi="Verdana"/>
          <w:color w:val="000000" w:themeColor="text1"/>
          <w:sz w:val="20"/>
          <w:szCs w:val="20"/>
        </w:rPr>
        <w:t xml:space="preserve"> </w:t>
      </w:r>
      <w:r>
        <w:rPr>
          <w:rFonts w:ascii="Verdana" w:hAnsi="Verdana"/>
          <w:color w:val="000000" w:themeColor="text1"/>
          <w:sz w:val="20"/>
          <w:szCs w:val="20"/>
        </w:rPr>
        <w:t>secteur</w:t>
      </w:r>
      <w:r w:rsidR="00F41848">
        <w:rPr>
          <w:rFonts w:ascii="Verdana" w:hAnsi="Verdana"/>
          <w:color w:val="000000" w:themeColor="text1"/>
          <w:sz w:val="20"/>
          <w:szCs w:val="20"/>
        </w:rPr>
        <w:t>.</w:t>
      </w:r>
      <w:r w:rsidR="00806A75">
        <w:rPr>
          <w:rFonts w:ascii="Verdana" w:hAnsi="Verdana"/>
          <w:color w:val="000000" w:themeColor="text1"/>
          <w:sz w:val="20"/>
          <w:szCs w:val="20"/>
        </w:rPr>
        <w:t xml:space="preserve"> Bien que la baisse des produits bovins joue un rôle dans </w:t>
      </w:r>
      <w:r w:rsidR="00FF663B">
        <w:rPr>
          <w:rFonts w:ascii="Verdana" w:hAnsi="Verdana"/>
          <w:color w:val="000000" w:themeColor="text1"/>
          <w:sz w:val="20"/>
          <w:szCs w:val="20"/>
        </w:rPr>
        <w:t xml:space="preserve">la diminution des </w:t>
      </w:r>
      <w:r w:rsidR="00806A75">
        <w:rPr>
          <w:rFonts w:ascii="Verdana" w:hAnsi="Verdana"/>
          <w:color w:val="000000" w:themeColor="text1"/>
          <w:sz w:val="20"/>
          <w:szCs w:val="20"/>
        </w:rPr>
        <w:t>revenu</w:t>
      </w:r>
      <w:r w:rsidR="00FF663B">
        <w:rPr>
          <w:rFonts w:ascii="Verdana" w:hAnsi="Verdana"/>
          <w:color w:val="000000" w:themeColor="text1"/>
          <w:sz w:val="20"/>
          <w:szCs w:val="20"/>
        </w:rPr>
        <w:t>s</w:t>
      </w:r>
      <w:r w:rsidR="0094654F">
        <w:rPr>
          <w:rFonts w:ascii="Verdana" w:hAnsi="Verdana"/>
          <w:color w:val="000000" w:themeColor="text1"/>
          <w:sz w:val="20"/>
          <w:szCs w:val="20"/>
        </w:rPr>
        <w:t xml:space="preserve"> depuis 2010</w:t>
      </w:r>
      <w:r w:rsidR="00806A75">
        <w:rPr>
          <w:rFonts w:ascii="Verdana" w:hAnsi="Verdana"/>
          <w:color w:val="000000" w:themeColor="text1"/>
          <w:sz w:val="20"/>
          <w:szCs w:val="20"/>
        </w:rPr>
        <w:t xml:space="preserve">, c’est surtout la hausse </w:t>
      </w:r>
      <w:r w:rsidR="00FF663B">
        <w:rPr>
          <w:rFonts w:ascii="Verdana" w:hAnsi="Verdana"/>
          <w:color w:val="000000" w:themeColor="text1"/>
          <w:sz w:val="20"/>
          <w:szCs w:val="20"/>
        </w:rPr>
        <w:t xml:space="preserve">du coût </w:t>
      </w:r>
      <w:r w:rsidR="00806A75">
        <w:rPr>
          <w:rFonts w:ascii="Verdana" w:hAnsi="Verdana"/>
          <w:color w:val="000000" w:themeColor="text1"/>
          <w:sz w:val="20"/>
          <w:szCs w:val="20"/>
        </w:rPr>
        <w:t>des moyens de production qui a</w:t>
      </w:r>
      <w:r>
        <w:rPr>
          <w:rFonts w:ascii="Verdana" w:hAnsi="Verdana"/>
          <w:color w:val="000000" w:themeColor="text1"/>
          <w:sz w:val="20"/>
          <w:szCs w:val="20"/>
        </w:rPr>
        <w:t>ffecte la rentabilité</w:t>
      </w:r>
      <w:r w:rsidR="00806A75">
        <w:rPr>
          <w:rFonts w:ascii="Verdana" w:hAnsi="Verdana"/>
          <w:color w:val="000000" w:themeColor="text1"/>
          <w:sz w:val="20"/>
          <w:szCs w:val="20"/>
        </w:rPr>
        <w:t xml:space="preserve">. </w:t>
      </w:r>
    </w:p>
    <w:p w:rsidR="00B339F2" w:rsidRPr="00B339F2" w:rsidRDefault="00B339F2" w:rsidP="00B339F2">
      <w:pPr>
        <w:pStyle w:val="Paragraphedeliste"/>
        <w:numPr>
          <w:ilvl w:val="0"/>
          <w:numId w:val="6"/>
        </w:numPr>
        <w:jc w:val="both"/>
        <w:rPr>
          <w:rFonts w:ascii="Verdana" w:hAnsi="Verdana"/>
          <w:sz w:val="20"/>
          <w:szCs w:val="20"/>
          <w:u w:val="single"/>
        </w:rPr>
      </w:pPr>
      <w:r w:rsidRPr="00B339F2">
        <w:rPr>
          <w:rFonts w:ascii="Verdana" w:hAnsi="Verdana"/>
          <w:sz w:val="20"/>
          <w:szCs w:val="20"/>
          <w:u w:val="single"/>
        </w:rPr>
        <w:lastRenderedPageBreak/>
        <w:t>Le Revenu du travail par ha (RT/ha)</w:t>
      </w:r>
      <w:r w:rsidR="00D771CF">
        <w:rPr>
          <w:rStyle w:val="Appelnotedebasdep"/>
          <w:rFonts w:ascii="Verdana" w:hAnsi="Verdana"/>
          <w:sz w:val="20"/>
          <w:szCs w:val="20"/>
        </w:rPr>
        <w:footnoteReference w:id="2"/>
      </w:r>
    </w:p>
    <w:p w:rsidR="000578FB" w:rsidRDefault="00F87CE4" w:rsidP="00327B09">
      <w:pPr>
        <w:jc w:val="both"/>
        <w:rPr>
          <w:rFonts w:ascii="Verdana" w:hAnsi="Verdana"/>
          <w:sz w:val="20"/>
          <w:szCs w:val="20"/>
        </w:rPr>
      </w:pPr>
      <w:r>
        <w:rPr>
          <w:rFonts w:ascii="Verdana" w:hAnsi="Verdana"/>
          <w:sz w:val="20"/>
          <w:szCs w:val="20"/>
        </w:rPr>
        <w:t>En considérant l</w:t>
      </w:r>
      <w:r w:rsidR="003D1F46" w:rsidRPr="00CA178C">
        <w:rPr>
          <w:rFonts w:ascii="Verdana" w:hAnsi="Verdana"/>
          <w:sz w:val="20"/>
          <w:szCs w:val="20"/>
        </w:rPr>
        <w:t>e RT exprimé par unité de SAU</w:t>
      </w:r>
      <w:r w:rsidR="009A7C0B" w:rsidRPr="00CA178C">
        <w:rPr>
          <w:rFonts w:ascii="Verdana" w:hAnsi="Verdana"/>
          <w:sz w:val="20"/>
          <w:szCs w:val="20"/>
        </w:rPr>
        <w:t>,</w:t>
      </w:r>
      <w:r w:rsidR="003D1F46" w:rsidRPr="00CA178C">
        <w:rPr>
          <w:rFonts w:ascii="Verdana" w:hAnsi="Verdana"/>
          <w:sz w:val="20"/>
          <w:szCs w:val="20"/>
        </w:rPr>
        <w:t xml:space="preserve"> </w:t>
      </w:r>
      <w:r w:rsidR="00C456C5" w:rsidRPr="00CA178C">
        <w:rPr>
          <w:rFonts w:ascii="Verdana" w:hAnsi="Verdana"/>
          <w:sz w:val="20"/>
          <w:szCs w:val="20"/>
        </w:rPr>
        <w:t xml:space="preserve">les exploitations de grandes cultures </w:t>
      </w:r>
      <w:r w:rsidR="00A64C00">
        <w:rPr>
          <w:rFonts w:ascii="Verdana" w:hAnsi="Verdana"/>
          <w:sz w:val="20"/>
          <w:szCs w:val="20"/>
        </w:rPr>
        <w:t xml:space="preserve">(OTE 100) devraient </w:t>
      </w:r>
      <w:r w:rsidR="00FC6F94" w:rsidRPr="00CA178C">
        <w:rPr>
          <w:rFonts w:ascii="Verdana" w:hAnsi="Verdana"/>
          <w:sz w:val="20"/>
          <w:szCs w:val="20"/>
        </w:rPr>
        <w:t>voi</w:t>
      </w:r>
      <w:r w:rsidR="00A64C00">
        <w:rPr>
          <w:rFonts w:ascii="Verdana" w:hAnsi="Verdana"/>
          <w:sz w:val="20"/>
          <w:szCs w:val="20"/>
        </w:rPr>
        <w:t>r</w:t>
      </w:r>
      <w:r w:rsidR="00FC6F94" w:rsidRPr="00CA178C">
        <w:rPr>
          <w:rFonts w:ascii="Verdana" w:hAnsi="Verdana"/>
          <w:sz w:val="20"/>
          <w:szCs w:val="20"/>
        </w:rPr>
        <w:t xml:space="preserve"> leur niveau </w:t>
      </w:r>
      <w:r w:rsidR="00505F5D" w:rsidRPr="00CA178C">
        <w:rPr>
          <w:rFonts w:ascii="Verdana" w:hAnsi="Verdana"/>
          <w:sz w:val="20"/>
          <w:szCs w:val="20"/>
        </w:rPr>
        <w:t xml:space="preserve">de revenu </w:t>
      </w:r>
      <w:r w:rsidR="00FF663B">
        <w:rPr>
          <w:rFonts w:ascii="Verdana" w:hAnsi="Verdana"/>
          <w:sz w:val="20"/>
          <w:szCs w:val="20"/>
        </w:rPr>
        <w:t>croître</w:t>
      </w:r>
      <w:r w:rsidR="00FE1DCD">
        <w:rPr>
          <w:rFonts w:ascii="Verdana" w:hAnsi="Verdana"/>
          <w:sz w:val="20"/>
          <w:szCs w:val="20"/>
        </w:rPr>
        <w:t xml:space="preserve"> </w:t>
      </w:r>
      <w:r w:rsidR="00FC6F94" w:rsidRPr="00CA178C">
        <w:rPr>
          <w:rFonts w:ascii="Verdana" w:hAnsi="Verdana"/>
          <w:sz w:val="20"/>
          <w:szCs w:val="20"/>
        </w:rPr>
        <w:t>en 201</w:t>
      </w:r>
      <w:r w:rsidR="004A5E87">
        <w:rPr>
          <w:rFonts w:ascii="Verdana" w:hAnsi="Verdana"/>
          <w:sz w:val="20"/>
          <w:szCs w:val="20"/>
        </w:rPr>
        <w:t>8</w:t>
      </w:r>
      <w:r w:rsidR="00FE1DCD">
        <w:rPr>
          <w:rFonts w:ascii="Verdana" w:hAnsi="Verdana"/>
          <w:sz w:val="20"/>
          <w:szCs w:val="20"/>
        </w:rPr>
        <w:t xml:space="preserve"> de quelques 40 % par rapport à 201</w:t>
      </w:r>
      <w:r w:rsidR="00C61BB2">
        <w:rPr>
          <w:rFonts w:ascii="Verdana" w:hAnsi="Verdana"/>
          <w:sz w:val="20"/>
          <w:szCs w:val="20"/>
        </w:rPr>
        <w:t>7</w:t>
      </w:r>
      <w:r w:rsidR="00A64C00">
        <w:rPr>
          <w:rFonts w:ascii="Verdana" w:hAnsi="Verdana"/>
          <w:sz w:val="20"/>
          <w:szCs w:val="20"/>
        </w:rPr>
        <w:t>,</w:t>
      </w:r>
      <w:r w:rsidR="00FE1DCD">
        <w:rPr>
          <w:rFonts w:ascii="Verdana" w:hAnsi="Verdana"/>
          <w:sz w:val="20"/>
          <w:szCs w:val="20"/>
        </w:rPr>
        <w:t xml:space="preserve"> pour s’établir à </w:t>
      </w:r>
      <w:r w:rsidR="00C61BB2">
        <w:rPr>
          <w:rFonts w:ascii="Verdana" w:hAnsi="Verdana"/>
          <w:sz w:val="20"/>
          <w:szCs w:val="20"/>
        </w:rPr>
        <w:t>718</w:t>
      </w:r>
      <w:r w:rsidR="00FE1DCD">
        <w:rPr>
          <w:rFonts w:ascii="Verdana" w:hAnsi="Verdana"/>
          <w:sz w:val="20"/>
          <w:szCs w:val="20"/>
        </w:rPr>
        <w:t> €/ha, niveau proche de l’année 201</w:t>
      </w:r>
      <w:r w:rsidR="00C61BB2">
        <w:rPr>
          <w:rFonts w:ascii="Verdana" w:hAnsi="Verdana"/>
          <w:sz w:val="20"/>
          <w:szCs w:val="20"/>
        </w:rPr>
        <w:t>3</w:t>
      </w:r>
      <w:r w:rsidR="000578FB" w:rsidRPr="00CA178C">
        <w:rPr>
          <w:rFonts w:ascii="Verdana" w:hAnsi="Verdana"/>
          <w:sz w:val="20"/>
          <w:szCs w:val="20"/>
        </w:rPr>
        <w:t xml:space="preserve">. </w:t>
      </w:r>
      <w:r w:rsidR="00C61BB2">
        <w:rPr>
          <w:rFonts w:ascii="Verdana" w:hAnsi="Verdana"/>
          <w:sz w:val="20"/>
          <w:szCs w:val="20"/>
        </w:rPr>
        <w:t xml:space="preserve">Il </w:t>
      </w:r>
      <w:r w:rsidR="00FF663B">
        <w:rPr>
          <w:rFonts w:ascii="Verdana" w:hAnsi="Verdana"/>
          <w:sz w:val="20"/>
          <w:szCs w:val="20"/>
        </w:rPr>
        <w:t>est à noter</w:t>
      </w:r>
      <w:r w:rsidR="00C61BB2">
        <w:rPr>
          <w:rFonts w:ascii="Verdana" w:hAnsi="Verdana"/>
          <w:sz w:val="20"/>
          <w:szCs w:val="20"/>
        </w:rPr>
        <w:t xml:space="preserve"> qu’une amélioration de 60% avait été observée entre 2017 et 2016. Le revenu </w:t>
      </w:r>
      <w:r w:rsidR="00BB3DD4">
        <w:rPr>
          <w:rFonts w:ascii="Verdana" w:hAnsi="Verdana"/>
          <w:sz w:val="20"/>
          <w:szCs w:val="20"/>
        </w:rPr>
        <w:t>de</w:t>
      </w:r>
      <w:r w:rsidR="00C61BB2">
        <w:rPr>
          <w:rFonts w:ascii="Verdana" w:hAnsi="Verdana"/>
          <w:sz w:val="20"/>
          <w:szCs w:val="20"/>
        </w:rPr>
        <w:t xml:space="preserve"> 2018 </w:t>
      </w:r>
      <w:r w:rsidR="00397458">
        <w:rPr>
          <w:rFonts w:ascii="Verdana" w:hAnsi="Verdana"/>
          <w:sz w:val="20"/>
          <w:szCs w:val="20"/>
        </w:rPr>
        <w:t>s</w:t>
      </w:r>
      <w:r w:rsidR="00BB3DD4">
        <w:rPr>
          <w:rFonts w:ascii="Verdana" w:hAnsi="Verdana"/>
          <w:sz w:val="20"/>
          <w:szCs w:val="20"/>
        </w:rPr>
        <w:t>era</w:t>
      </w:r>
      <w:r w:rsidR="00115165">
        <w:rPr>
          <w:rFonts w:ascii="Verdana" w:hAnsi="Verdana"/>
          <w:sz w:val="20"/>
          <w:szCs w:val="20"/>
        </w:rPr>
        <w:t>it</w:t>
      </w:r>
      <w:r w:rsidR="00BB3DD4">
        <w:rPr>
          <w:rFonts w:ascii="Verdana" w:hAnsi="Verdana"/>
          <w:sz w:val="20"/>
          <w:szCs w:val="20"/>
        </w:rPr>
        <w:t xml:space="preserve"> vraisemblablement s</w:t>
      </w:r>
      <w:r w:rsidR="00397458">
        <w:rPr>
          <w:rFonts w:ascii="Verdana" w:hAnsi="Verdana"/>
          <w:sz w:val="20"/>
          <w:szCs w:val="20"/>
        </w:rPr>
        <w:t>upérieur à la moyenne observée depuis 2010</w:t>
      </w:r>
      <w:r w:rsidR="00C61BB2">
        <w:rPr>
          <w:rFonts w:ascii="Verdana" w:hAnsi="Verdana"/>
          <w:sz w:val="20"/>
          <w:szCs w:val="20"/>
        </w:rPr>
        <w:t xml:space="preserve"> </w:t>
      </w:r>
      <w:r w:rsidR="009A7C0B" w:rsidRPr="00CA178C">
        <w:rPr>
          <w:rFonts w:ascii="Verdana" w:hAnsi="Verdana"/>
          <w:sz w:val="20"/>
          <w:szCs w:val="20"/>
        </w:rPr>
        <w:t>(</w:t>
      </w:r>
      <w:r w:rsidR="004C6795">
        <w:rPr>
          <w:rFonts w:ascii="Verdana" w:hAnsi="Verdana"/>
          <w:sz w:val="20"/>
          <w:szCs w:val="20"/>
        </w:rPr>
        <w:fldChar w:fldCharType="begin"/>
      </w:r>
      <w:r w:rsidR="00614311">
        <w:rPr>
          <w:rFonts w:ascii="Verdana" w:hAnsi="Verdana"/>
          <w:sz w:val="20"/>
          <w:szCs w:val="20"/>
        </w:rPr>
        <w:instrText xml:space="preserve"> REF _Ref520988808 \h </w:instrText>
      </w:r>
      <w:r w:rsidR="004C6795">
        <w:rPr>
          <w:rFonts w:ascii="Verdana" w:hAnsi="Verdana"/>
          <w:sz w:val="20"/>
          <w:szCs w:val="20"/>
        </w:rPr>
      </w:r>
      <w:r w:rsidR="004C6795">
        <w:rPr>
          <w:rFonts w:ascii="Verdana" w:hAnsi="Verdana"/>
          <w:sz w:val="20"/>
          <w:szCs w:val="20"/>
        </w:rPr>
        <w:fldChar w:fldCharType="separate"/>
      </w:r>
      <w:r w:rsidR="008E4213">
        <w:t xml:space="preserve">Figure </w:t>
      </w:r>
      <w:r w:rsidR="008E4213">
        <w:rPr>
          <w:noProof/>
        </w:rPr>
        <w:t>4</w:t>
      </w:r>
      <w:r w:rsidR="004C6795">
        <w:rPr>
          <w:rFonts w:ascii="Verdana" w:hAnsi="Verdana"/>
          <w:sz w:val="20"/>
          <w:szCs w:val="20"/>
        </w:rPr>
        <w:fldChar w:fldCharType="end"/>
      </w:r>
      <w:r w:rsidR="009A7C0B" w:rsidRPr="00CA178C">
        <w:rPr>
          <w:rFonts w:ascii="Verdana" w:hAnsi="Verdana"/>
          <w:sz w:val="20"/>
          <w:szCs w:val="20"/>
        </w:rPr>
        <w:t>)</w:t>
      </w:r>
      <w:r w:rsidR="00397458">
        <w:rPr>
          <w:rFonts w:ascii="Verdana" w:hAnsi="Verdana"/>
          <w:sz w:val="20"/>
          <w:szCs w:val="20"/>
        </w:rPr>
        <w:t>, approchant ainsi les revenus de début de décennie.</w:t>
      </w:r>
    </w:p>
    <w:p w:rsidR="00713619" w:rsidRDefault="00397458" w:rsidP="00713619">
      <w:pPr>
        <w:keepNext/>
        <w:jc w:val="center"/>
      </w:pPr>
      <w:bookmarkStart w:id="0" w:name="_GoBack"/>
      <w:r w:rsidRPr="00397458">
        <w:rPr>
          <w:noProof/>
          <w:lang w:eastAsia="fr-BE"/>
        </w:rPr>
        <w:drawing>
          <wp:inline distT="0" distB="0" distL="0" distR="0">
            <wp:extent cx="5685772" cy="1620000"/>
            <wp:effectExtent l="1905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387"/>
                    <a:stretch/>
                  </pic:blipFill>
                  <pic:spPr bwMode="auto">
                    <a:xfrm>
                      <a:off x="0" y="0"/>
                      <a:ext cx="5685772" cy="162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bookmarkEnd w:id="0"/>
    </w:p>
    <w:p w:rsidR="0010485F" w:rsidRPr="00CA178C" w:rsidRDefault="00713619" w:rsidP="008E4213">
      <w:pPr>
        <w:pStyle w:val="Lgende"/>
        <w:rPr>
          <w:sz w:val="20"/>
          <w:szCs w:val="20"/>
        </w:rPr>
      </w:pPr>
      <w:r>
        <w:t xml:space="preserve">Figure </w:t>
      </w:r>
      <w:r w:rsidR="004C6795">
        <w:rPr>
          <w:noProof/>
        </w:rPr>
        <w:fldChar w:fldCharType="begin"/>
      </w:r>
      <w:r w:rsidR="008A290D">
        <w:rPr>
          <w:noProof/>
        </w:rPr>
        <w:instrText xml:space="preserve"> SEQ Figure \* ARABIC </w:instrText>
      </w:r>
      <w:r w:rsidR="004C6795">
        <w:rPr>
          <w:noProof/>
        </w:rPr>
        <w:fldChar w:fldCharType="separate"/>
      </w:r>
      <w:r w:rsidR="008E4213">
        <w:rPr>
          <w:noProof/>
        </w:rPr>
        <w:t>1</w:t>
      </w:r>
      <w:r w:rsidR="004C6795">
        <w:rPr>
          <w:noProof/>
        </w:rPr>
        <w:fldChar w:fldCharType="end"/>
      </w:r>
      <w:r>
        <w:t xml:space="preserve"> </w:t>
      </w:r>
      <w:r w:rsidRPr="000C5F2A">
        <w:t xml:space="preserve">Revenu par hectare de SAU </w:t>
      </w:r>
      <w:r w:rsidR="008A290D">
        <w:t>718€/ha</w:t>
      </w:r>
      <w:r w:rsidRPr="000C5F2A">
        <w:t xml:space="preserve">- </w:t>
      </w:r>
      <w:r>
        <w:t>Grandes cultures</w:t>
      </w:r>
    </w:p>
    <w:p w:rsidR="000578FB" w:rsidRDefault="004A5E87" w:rsidP="007628DA">
      <w:pPr>
        <w:spacing w:before="240"/>
        <w:jc w:val="both"/>
        <w:rPr>
          <w:rFonts w:ascii="Verdana" w:hAnsi="Verdana"/>
          <w:sz w:val="20"/>
          <w:szCs w:val="20"/>
        </w:rPr>
      </w:pPr>
      <w:r>
        <w:rPr>
          <w:rFonts w:ascii="Verdana" w:hAnsi="Verdana"/>
          <w:sz w:val="20"/>
          <w:szCs w:val="20"/>
        </w:rPr>
        <w:t>Pour</w:t>
      </w:r>
      <w:r w:rsidR="003D1F46">
        <w:rPr>
          <w:rFonts w:ascii="Verdana" w:hAnsi="Verdana"/>
          <w:sz w:val="20"/>
          <w:szCs w:val="20"/>
        </w:rPr>
        <w:t xml:space="preserve"> les exploitations bovines laitières</w:t>
      </w:r>
      <w:r w:rsidR="00A64C00">
        <w:rPr>
          <w:rFonts w:ascii="Verdana" w:hAnsi="Verdana"/>
          <w:sz w:val="20"/>
          <w:szCs w:val="20"/>
        </w:rPr>
        <w:t xml:space="preserve"> (OTE 450)</w:t>
      </w:r>
      <w:r w:rsidR="009A7C0B">
        <w:rPr>
          <w:rFonts w:ascii="Verdana" w:hAnsi="Verdana"/>
          <w:sz w:val="20"/>
          <w:szCs w:val="20"/>
        </w:rPr>
        <w:t>,</w:t>
      </w:r>
      <w:r w:rsidR="003D1F46">
        <w:rPr>
          <w:rFonts w:ascii="Verdana" w:hAnsi="Verdana"/>
          <w:sz w:val="20"/>
          <w:szCs w:val="20"/>
        </w:rPr>
        <w:t xml:space="preserve"> le RT/</w:t>
      </w:r>
      <w:r w:rsidR="000578FB">
        <w:rPr>
          <w:rFonts w:ascii="Verdana" w:hAnsi="Verdana"/>
          <w:sz w:val="20"/>
          <w:szCs w:val="20"/>
        </w:rPr>
        <w:t>ha</w:t>
      </w:r>
      <w:r w:rsidR="003D1F46">
        <w:rPr>
          <w:rFonts w:ascii="Verdana" w:hAnsi="Verdana"/>
          <w:sz w:val="20"/>
          <w:szCs w:val="20"/>
        </w:rPr>
        <w:t xml:space="preserve"> </w:t>
      </w:r>
      <w:r w:rsidR="00397458">
        <w:rPr>
          <w:rFonts w:ascii="Verdana" w:hAnsi="Verdana"/>
          <w:sz w:val="20"/>
          <w:szCs w:val="20"/>
        </w:rPr>
        <w:t>subirait</w:t>
      </w:r>
      <w:r w:rsidR="00A64C00">
        <w:rPr>
          <w:rFonts w:ascii="Verdana" w:hAnsi="Verdana"/>
          <w:sz w:val="20"/>
          <w:szCs w:val="20"/>
        </w:rPr>
        <w:t>,</w:t>
      </w:r>
      <w:r w:rsidR="00FE1DCD">
        <w:rPr>
          <w:rFonts w:ascii="Verdana" w:hAnsi="Verdana"/>
          <w:sz w:val="20"/>
          <w:szCs w:val="20"/>
        </w:rPr>
        <w:t xml:space="preserve"> avec </w:t>
      </w:r>
      <w:r w:rsidR="00397458">
        <w:rPr>
          <w:rFonts w:ascii="Verdana" w:hAnsi="Verdana"/>
          <w:sz w:val="20"/>
          <w:szCs w:val="20"/>
        </w:rPr>
        <w:t>467</w:t>
      </w:r>
      <w:r w:rsidR="00FE1DCD">
        <w:rPr>
          <w:rFonts w:ascii="Verdana" w:hAnsi="Verdana"/>
          <w:sz w:val="20"/>
          <w:szCs w:val="20"/>
        </w:rPr>
        <w:t> €/ha</w:t>
      </w:r>
      <w:r w:rsidR="00BB3DD4">
        <w:rPr>
          <w:rFonts w:ascii="Verdana" w:hAnsi="Verdana"/>
          <w:sz w:val="20"/>
          <w:szCs w:val="20"/>
        </w:rPr>
        <w:t>,</w:t>
      </w:r>
      <w:r w:rsidR="009A7C0B">
        <w:rPr>
          <w:rFonts w:ascii="Verdana" w:hAnsi="Verdana"/>
          <w:sz w:val="20"/>
          <w:szCs w:val="20"/>
        </w:rPr>
        <w:t xml:space="preserve"> en moyenne, </w:t>
      </w:r>
      <w:r w:rsidR="00397458">
        <w:rPr>
          <w:rFonts w:ascii="Verdana" w:hAnsi="Verdana"/>
          <w:sz w:val="20"/>
          <w:szCs w:val="20"/>
        </w:rPr>
        <w:t>une diminution d’environ 40% par rapport à l’année précédente</w:t>
      </w:r>
      <w:r w:rsidR="003E5EB7">
        <w:rPr>
          <w:rFonts w:ascii="Verdana" w:hAnsi="Verdana"/>
          <w:sz w:val="20"/>
          <w:szCs w:val="20"/>
        </w:rPr>
        <w:t xml:space="preserve">, année particulièrement </w:t>
      </w:r>
      <w:r w:rsidR="00BB3DD4">
        <w:rPr>
          <w:rFonts w:ascii="Verdana" w:hAnsi="Verdana"/>
          <w:sz w:val="20"/>
          <w:szCs w:val="20"/>
        </w:rPr>
        <w:t>favorable qui f</w:t>
      </w:r>
      <w:r w:rsidR="003E5EB7">
        <w:rPr>
          <w:rFonts w:ascii="Verdana" w:hAnsi="Verdana"/>
          <w:sz w:val="20"/>
          <w:szCs w:val="20"/>
        </w:rPr>
        <w:t>ut (jusqu’à présent) la meilleure de la décennie</w:t>
      </w:r>
      <w:r w:rsidR="000578FB">
        <w:rPr>
          <w:rFonts w:ascii="Verdana" w:hAnsi="Verdana"/>
          <w:sz w:val="20"/>
          <w:szCs w:val="20"/>
        </w:rPr>
        <w:t>.</w:t>
      </w:r>
      <w:r w:rsidR="003E5EB7">
        <w:rPr>
          <w:rFonts w:ascii="Verdana" w:hAnsi="Verdana"/>
          <w:sz w:val="20"/>
          <w:szCs w:val="20"/>
        </w:rPr>
        <w:t xml:space="preserve"> Le revenu </w:t>
      </w:r>
      <w:r w:rsidR="00BB3DD4">
        <w:rPr>
          <w:rFonts w:ascii="Verdana" w:hAnsi="Verdana"/>
          <w:sz w:val="20"/>
          <w:szCs w:val="20"/>
        </w:rPr>
        <w:t>de</w:t>
      </w:r>
      <w:r w:rsidR="003E5EB7">
        <w:rPr>
          <w:rFonts w:ascii="Verdana" w:hAnsi="Verdana"/>
          <w:sz w:val="20"/>
          <w:szCs w:val="20"/>
        </w:rPr>
        <w:t xml:space="preserve"> 2018 </w:t>
      </w:r>
      <w:r w:rsidR="00BB3DD4">
        <w:rPr>
          <w:rFonts w:ascii="Verdana" w:hAnsi="Verdana"/>
          <w:sz w:val="20"/>
          <w:szCs w:val="20"/>
        </w:rPr>
        <w:t>sera</w:t>
      </w:r>
      <w:r w:rsidR="00115165">
        <w:rPr>
          <w:rFonts w:ascii="Verdana" w:hAnsi="Verdana"/>
          <w:sz w:val="20"/>
          <w:szCs w:val="20"/>
        </w:rPr>
        <w:t>it</w:t>
      </w:r>
      <w:r w:rsidR="00BB3DD4">
        <w:rPr>
          <w:rFonts w:ascii="Verdana" w:hAnsi="Verdana"/>
          <w:sz w:val="20"/>
          <w:szCs w:val="20"/>
        </w:rPr>
        <w:t xml:space="preserve"> probablement </w:t>
      </w:r>
      <w:r w:rsidR="003E5EB7">
        <w:rPr>
          <w:rFonts w:ascii="Verdana" w:hAnsi="Verdana"/>
          <w:sz w:val="20"/>
          <w:szCs w:val="20"/>
        </w:rPr>
        <w:t>un peu en dessous de la moyenne décennale.</w:t>
      </w:r>
    </w:p>
    <w:p w:rsidR="00713619" w:rsidRDefault="00397458" w:rsidP="00713619">
      <w:pPr>
        <w:keepNext/>
        <w:jc w:val="center"/>
      </w:pPr>
      <w:r w:rsidRPr="00397458">
        <w:rPr>
          <w:noProof/>
          <w:lang w:eastAsia="fr-BE"/>
        </w:rPr>
        <w:drawing>
          <wp:inline distT="0" distB="0" distL="0" distR="0">
            <wp:extent cx="5897077" cy="1620000"/>
            <wp:effectExtent l="19050" t="0" r="8423"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 b="48432"/>
                    <a:stretch/>
                  </pic:blipFill>
                  <pic:spPr bwMode="auto">
                    <a:xfrm>
                      <a:off x="0" y="0"/>
                      <a:ext cx="5897077" cy="162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485F" w:rsidRDefault="00713619" w:rsidP="008E4213">
      <w:pPr>
        <w:pStyle w:val="Lgende"/>
        <w:rPr>
          <w:sz w:val="20"/>
          <w:szCs w:val="20"/>
        </w:rPr>
      </w:pPr>
      <w:r>
        <w:t xml:space="preserve">Figure </w:t>
      </w:r>
      <w:r w:rsidR="004C6795">
        <w:rPr>
          <w:noProof/>
        </w:rPr>
        <w:fldChar w:fldCharType="begin"/>
      </w:r>
      <w:r w:rsidR="008A290D">
        <w:rPr>
          <w:noProof/>
        </w:rPr>
        <w:instrText xml:space="preserve"> SEQ Figure \* ARABIC </w:instrText>
      </w:r>
      <w:r w:rsidR="004C6795">
        <w:rPr>
          <w:noProof/>
        </w:rPr>
        <w:fldChar w:fldCharType="separate"/>
      </w:r>
      <w:r w:rsidR="008E4213">
        <w:rPr>
          <w:noProof/>
        </w:rPr>
        <w:t>2</w:t>
      </w:r>
      <w:r w:rsidR="004C6795">
        <w:rPr>
          <w:noProof/>
        </w:rPr>
        <w:fldChar w:fldCharType="end"/>
      </w:r>
      <w:r>
        <w:t xml:space="preserve"> </w:t>
      </w:r>
      <w:r w:rsidRPr="00FC0F1D">
        <w:t xml:space="preserve">Revenu par hectare de SAU </w:t>
      </w:r>
      <w:r w:rsidR="008A290D">
        <w:t xml:space="preserve">476€/ha </w:t>
      </w:r>
      <w:r w:rsidRPr="00FC0F1D">
        <w:t xml:space="preserve">- bovins </w:t>
      </w:r>
      <w:r>
        <w:t>lait</w:t>
      </w:r>
    </w:p>
    <w:p w:rsidR="00FF663B" w:rsidRDefault="00FF663B" w:rsidP="00D91466">
      <w:pPr>
        <w:spacing w:before="240"/>
        <w:jc w:val="both"/>
        <w:rPr>
          <w:rFonts w:ascii="Verdana" w:hAnsi="Verdana"/>
          <w:sz w:val="20"/>
          <w:szCs w:val="20"/>
        </w:rPr>
      </w:pPr>
    </w:p>
    <w:p w:rsidR="00C456C5" w:rsidRDefault="003D1F46" w:rsidP="00D91466">
      <w:pPr>
        <w:spacing w:before="240"/>
        <w:jc w:val="both"/>
        <w:rPr>
          <w:rFonts w:ascii="Verdana" w:hAnsi="Verdana"/>
          <w:sz w:val="20"/>
          <w:szCs w:val="20"/>
        </w:rPr>
      </w:pPr>
      <w:r w:rsidRPr="009A7F13">
        <w:rPr>
          <w:rFonts w:ascii="Verdana" w:hAnsi="Verdana"/>
          <w:sz w:val="20"/>
          <w:szCs w:val="20"/>
        </w:rPr>
        <w:lastRenderedPageBreak/>
        <w:t xml:space="preserve">Les exploitations spécialisées en </w:t>
      </w:r>
      <w:r w:rsidR="00B93CAB">
        <w:rPr>
          <w:rFonts w:ascii="Verdana" w:hAnsi="Verdana"/>
          <w:sz w:val="20"/>
          <w:szCs w:val="20"/>
        </w:rPr>
        <w:t xml:space="preserve">viande </w:t>
      </w:r>
      <w:r w:rsidR="00321953">
        <w:rPr>
          <w:rFonts w:ascii="Verdana" w:hAnsi="Verdana"/>
          <w:sz w:val="20"/>
          <w:szCs w:val="20"/>
        </w:rPr>
        <w:t>bovine</w:t>
      </w:r>
      <w:r w:rsidRPr="009A7F13">
        <w:rPr>
          <w:rFonts w:ascii="Verdana" w:hAnsi="Verdana"/>
          <w:sz w:val="20"/>
          <w:szCs w:val="20"/>
        </w:rPr>
        <w:t xml:space="preserve"> (élevage et viande) </w:t>
      </w:r>
      <w:r w:rsidR="003E5EB7">
        <w:rPr>
          <w:rFonts w:ascii="Verdana" w:hAnsi="Verdana"/>
          <w:sz w:val="20"/>
          <w:szCs w:val="20"/>
        </w:rPr>
        <w:t>v</w:t>
      </w:r>
      <w:r w:rsidR="00B93CAB">
        <w:rPr>
          <w:rFonts w:ascii="Verdana" w:hAnsi="Verdana"/>
          <w:sz w:val="20"/>
          <w:szCs w:val="20"/>
        </w:rPr>
        <w:t xml:space="preserve">erraient </w:t>
      </w:r>
      <w:r w:rsidR="003E5EB7">
        <w:rPr>
          <w:rFonts w:ascii="Verdana" w:hAnsi="Verdana"/>
          <w:sz w:val="20"/>
          <w:szCs w:val="20"/>
        </w:rPr>
        <w:t xml:space="preserve">leur </w:t>
      </w:r>
      <w:r w:rsidRPr="009A7F13">
        <w:rPr>
          <w:rFonts w:ascii="Verdana" w:hAnsi="Verdana"/>
          <w:sz w:val="20"/>
          <w:szCs w:val="20"/>
        </w:rPr>
        <w:t>RT/</w:t>
      </w:r>
      <w:r w:rsidR="00141656" w:rsidRPr="009A7F13">
        <w:rPr>
          <w:rFonts w:ascii="Verdana" w:hAnsi="Verdana"/>
          <w:sz w:val="20"/>
          <w:szCs w:val="20"/>
        </w:rPr>
        <w:t>ha</w:t>
      </w:r>
      <w:r w:rsidR="003E5EB7">
        <w:rPr>
          <w:rFonts w:ascii="Verdana" w:hAnsi="Verdana"/>
          <w:sz w:val="20"/>
          <w:szCs w:val="20"/>
        </w:rPr>
        <w:t xml:space="preserve"> </w:t>
      </w:r>
      <w:r w:rsidR="00B93CAB">
        <w:rPr>
          <w:rFonts w:ascii="Verdana" w:hAnsi="Verdana"/>
          <w:sz w:val="20"/>
          <w:szCs w:val="20"/>
        </w:rPr>
        <w:t xml:space="preserve">s’apprécier </w:t>
      </w:r>
      <w:r w:rsidR="003E5EB7">
        <w:rPr>
          <w:rFonts w:ascii="Verdana" w:hAnsi="Verdana"/>
          <w:sz w:val="20"/>
          <w:szCs w:val="20"/>
        </w:rPr>
        <w:t>de 4%</w:t>
      </w:r>
      <w:r w:rsidR="00661FB9" w:rsidRPr="009A7F13">
        <w:rPr>
          <w:rFonts w:ascii="Verdana" w:hAnsi="Verdana"/>
          <w:sz w:val="20"/>
          <w:szCs w:val="20"/>
        </w:rPr>
        <w:t>.</w:t>
      </w:r>
      <w:r w:rsidR="003E5EB7">
        <w:rPr>
          <w:rFonts w:ascii="Verdana" w:hAnsi="Verdana"/>
          <w:sz w:val="20"/>
          <w:szCs w:val="20"/>
        </w:rPr>
        <w:t xml:space="preserve"> Cette très légère </w:t>
      </w:r>
      <w:r w:rsidR="00321953">
        <w:rPr>
          <w:rFonts w:ascii="Verdana" w:hAnsi="Verdana"/>
          <w:sz w:val="20"/>
          <w:szCs w:val="20"/>
        </w:rPr>
        <w:t>amélioration</w:t>
      </w:r>
      <w:r w:rsidR="003E5EB7">
        <w:rPr>
          <w:rFonts w:ascii="Verdana" w:hAnsi="Verdana"/>
          <w:sz w:val="20"/>
          <w:szCs w:val="20"/>
        </w:rPr>
        <w:t xml:space="preserve">, ne permet </w:t>
      </w:r>
      <w:r w:rsidR="00B93CAB">
        <w:rPr>
          <w:rFonts w:ascii="Verdana" w:hAnsi="Verdana"/>
          <w:sz w:val="20"/>
          <w:szCs w:val="20"/>
        </w:rPr>
        <w:t xml:space="preserve">toutefois </w:t>
      </w:r>
      <w:r w:rsidR="003E5EB7">
        <w:rPr>
          <w:rFonts w:ascii="Verdana" w:hAnsi="Verdana"/>
          <w:sz w:val="20"/>
          <w:szCs w:val="20"/>
        </w:rPr>
        <w:t xml:space="preserve">pas d’assurer un revenu </w:t>
      </w:r>
      <w:r w:rsidR="00B93CAB">
        <w:rPr>
          <w:rFonts w:ascii="Verdana" w:hAnsi="Verdana"/>
          <w:sz w:val="20"/>
          <w:szCs w:val="20"/>
        </w:rPr>
        <w:t>suffisant à</w:t>
      </w:r>
      <w:r w:rsidR="003E5EB7">
        <w:rPr>
          <w:rFonts w:ascii="Verdana" w:hAnsi="Verdana"/>
          <w:sz w:val="20"/>
          <w:szCs w:val="20"/>
        </w:rPr>
        <w:t xml:space="preserve"> l’agriculteur.</w:t>
      </w:r>
      <w:r w:rsidR="00D91466">
        <w:rPr>
          <w:rFonts w:ascii="Verdana" w:hAnsi="Verdana"/>
          <w:sz w:val="20"/>
          <w:szCs w:val="20"/>
        </w:rPr>
        <w:t xml:space="preserve"> En effet, l’année 2017 ayant atteint un niveau catastrophiquement bas, il aurait fallu une ascension fulgurante pour </w:t>
      </w:r>
      <w:r w:rsidR="00B93CAB">
        <w:rPr>
          <w:rFonts w:ascii="Verdana" w:hAnsi="Verdana"/>
          <w:sz w:val="20"/>
          <w:szCs w:val="20"/>
        </w:rPr>
        <w:t xml:space="preserve">juguler </w:t>
      </w:r>
      <w:r w:rsidR="00D91466">
        <w:rPr>
          <w:rFonts w:ascii="Verdana" w:hAnsi="Verdana"/>
          <w:sz w:val="20"/>
          <w:szCs w:val="20"/>
        </w:rPr>
        <w:t>le problème</w:t>
      </w:r>
      <w:r w:rsidR="00B93CAB">
        <w:rPr>
          <w:rFonts w:ascii="Verdana" w:hAnsi="Verdana"/>
          <w:sz w:val="20"/>
          <w:szCs w:val="20"/>
        </w:rPr>
        <w:t xml:space="preserve"> de déficit chronique de rentabilité</w:t>
      </w:r>
      <w:r w:rsidR="00D91466">
        <w:rPr>
          <w:rFonts w:ascii="Verdana" w:hAnsi="Verdana"/>
          <w:sz w:val="20"/>
          <w:szCs w:val="20"/>
        </w:rPr>
        <w:t xml:space="preserve">. </w:t>
      </w:r>
      <w:r w:rsidR="003E5EB7">
        <w:rPr>
          <w:rFonts w:ascii="Verdana" w:hAnsi="Verdana"/>
          <w:sz w:val="20"/>
          <w:szCs w:val="20"/>
        </w:rPr>
        <w:t>L’année 2010, avec un revenu de 282€</w:t>
      </w:r>
      <w:r w:rsidR="00D91466">
        <w:rPr>
          <w:rFonts w:ascii="Verdana" w:hAnsi="Verdana"/>
          <w:sz w:val="20"/>
          <w:szCs w:val="20"/>
        </w:rPr>
        <w:t>/ha</w:t>
      </w:r>
      <w:r w:rsidR="003E5EB7">
        <w:rPr>
          <w:rFonts w:ascii="Verdana" w:hAnsi="Verdana"/>
          <w:sz w:val="20"/>
          <w:szCs w:val="20"/>
        </w:rPr>
        <w:t xml:space="preserve">, parait </w:t>
      </w:r>
      <w:r w:rsidR="00D91466">
        <w:rPr>
          <w:rFonts w:ascii="Verdana" w:hAnsi="Verdana"/>
          <w:sz w:val="20"/>
          <w:szCs w:val="20"/>
        </w:rPr>
        <w:t xml:space="preserve">donc </w:t>
      </w:r>
      <w:r w:rsidR="003E5EB7">
        <w:rPr>
          <w:rFonts w:ascii="Verdana" w:hAnsi="Verdana"/>
          <w:sz w:val="20"/>
          <w:szCs w:val="20"/>
        </w:rPr>
        <w:t>très lointaine.</w:t>
      </w:r>
    </w:p>
    <w:p w:rsidR="00593F45" w:rsidRDefault="00593F45" w:rsidP="00593F45">
      <w:pPr>
        <w:jc w:val="both"/>
        <w:rPr>
          <w:rFonts w:ascii="Verdana" w:hAnsi="Verdana"/>
          <w:color w:val="000000" w:themeColor="text1"/>
          <w:sz w:val="20"/>
          <w:szCs w:val="20"/>
        </w:rPr>
      </w:pPr>
      <w:r>
        <w:rPr>
          <w:rFonts w:ascii="Verdana" w:hAnsi="Verdana"/>
          <w:color w:val="000000" w:themeColor="text1"/>
          <w:sz w:val="20"/>
          <w:szCs w:val="20"/>
        </w:rPr>
        <w:t xml:space="preserve">Depuis 2010, le produit de la viande bovine est resté relativement stable avec une </w:t>
      </w:r>
      <w:r w:rsidR="00135AF1">
        <w:rPr>
          <w:rFonts w:ascii="Verdana" w:hAnsi="Verdana"/>
          <w:color w:val="000000" w:themeColor="text1"/>
          <w:sz w:val="20"/>
          <w:szCs w:val="20"/>
        </w:rPr>
        <w:t xml:space="preserve">légère </w:t>
      </w:r>
      <w:r>
        <w:rPr>
          <w:rFonts w:ascii="Verdana" w:hAnsi="Verdana"/>
          <w:color w:val="000000" w:themeColor="text1"/>
          <w:sz w:val="20"/>
          <w:szCs w:val="20"/>
        </w:rPr>
        <w:t xml:space="preserve">tendance </w:t>
      </w:r>
      <w:r w:rsidR="00B93CAB">
        <w:rPr>
          <w:rFonts w:ascii="Verdana" w:hAnsi="Verdana"/>
          <w:color w:val="000000" w:themeColor="text1"/>
          <w:sz w:val="20"/>
          <w:szCs w:val="20"/>
        </w:rPr>
        <w:t>b</w:t>
      </w:r>
      <w:r>
        <w:rPr>
          <w:rFonts w:ascii="Verdana" w:hAnsi="Verdana"/>
          <w:color w:val="000000" w:themeColor="text1"/>
          <w:sz w:val="20"/>
          <w:szCs w:val="20"/>
        </w:rPr>
        <w:t>aiss</w:t>
      </w:r>
      <w:r w:rsidR="00B93CAB">
        <w:rPr>
          <w:rFonts w:ascii="Verdana" w:hAnsi="Verdana"/>
          <w:color w:val="000000" w:themeColor="text1"/>
          <w:sz w:val="20"/>
          <w:szCs w:val="20"/>
        </w:rPr>
        <w:t>ière</w:t>
      </w:r>
      <w:r>
        <w:rPr>
          <w:rFonts w:ascii="Verdana" w:hAnsi="Verdana"/>
          <w:color w:val="000000" w:themeColor="text1"/>
          <w:sz w:val="20"/>
          <w:szCs w:val="20"/>
        </w:rPr>
        <w:t>. Cependant, les charges ont</w:t>
      </w:r>
      <w:r w:rsidR="00B93CAB">
        <w:rPr>
          <w:rFonts w:ascii="Verdana" w:hAnsi="Verdana"/>
          <w:color w:val="000000" w:themeColor="text1"/>
          <w:sz w:val="20"/>
          <w:szCs w:val="20"/>
        </w:rPr>
        <w:t>,</w:t>
      </w:r>
      <w:r>
        <w:rPr>
          <w:rFonts w:ascii="Verdana" w:hAnsi="Verdana"/>
          <w:color w:val="000000" w:themeColor="text1"/>
          <w:sz w:val="20"/>
          <w:szCs w:val="20"/>
        </w:rPr>
        <w:t xml:space="preserve"> </w:t>
      </w:r>
      <w:r w:rsidR="00B93CAB">
        <w:rPr>
          <w:rFonts w:ascii="Verdana" w:hAnsi="Verdana"/>
          <w:color w:val="000000" w:themeColor="text1"/>
          <w:sz w:val="20"/>
          <w:szCs w:val="20"/>
        </w:rPr>
        <w:t xml:space="preserve">en moyenne, </w:t>
      </w:r>
      <w:r>
        <w:rPr>
          <w:rFonts w:ascii="Verdana" w:hAnsi="Verdana"/>
          <w:color w:val="000000" w:themeColor="text1"/>
          <w:sz w:val="20"/>
          <w:szCs w:val="20"/>
        </w:rPr>
        <w:t xml:space="preserve">augmenté </w:t>
      </w:r>
      <w:r w:rsidR="00B93CAB">
        <w:rPr>
          <w:rFonts w:ascii="Verdana" w:hAnsi="Verdana"/>
          <w:color w:val="000000" w:themeColor="text1"/>
          <w:sz w:val="20"/>
          <w:szCs w:val="20"/>
        </w:rPr>
        <w:t xml:space="preserve">de plus de 10% </w:t>
      </w:r>
      <w:r>
        <w:rPr>
          <w:rFonts w:ascii="Verdana" w:hAnsi="Verdana"/>
          <w:color w:val="000000" w:themeColor="text1"/>
          <w:sz w:val="20"/>
          <w:szCs w:val="20"/>
        </w:rPr>
        <w:t xml:space="preserve">en </w:t>
      </w:r>
      <w:r w:rsidR="00B93CAB">
        <w:rPr>
          <w:rFonts w:ascii="Verdana" w:hAnsi="Verdana"/>
          <w:color w:val="000000" w:themeColor="text1"/>
          <w:sz w:val="20"/>
          <w:szCs w:val="20"/>
        </w:rPr>
        <w:t>huit</w:t>
      </w:r>
      <w:r>
        <w:rPr>
          <w:rFonts w:ascii="Verdana" w:hAnsi="Verdana"/>
          <w:color w:val="000000" w:themeColor="text1"/>
          <w:sz w:val="20"/>
          <w:szCs w:val="20"/>
        </w:rPr>
        <w:t xml:space="preserve"> ans. </w:t>
      </w:r>
      <w:r w:rsidR="00D91466">
        <w:rPr>
          <w:rFonts w:ascii="Verdana" w:hAnsi="Verdana"/>
          <w:color w:val="000000" w:themeColor="text1"/>
          <w:sz w:val="20"/>
          <w:szCs w:val="20"/>
        </w:rPr>
        <w:t>Ce sont les</w:t>
      </w:r>
      <w:r>
        <w:rPr>
          <w:rFonts w:ascii="Verdana" w:hAnsi="Verdana"/>
          <w:color w:val="000000" w:themeColor="text1"/>
          <w:sz w:val="20"/>
          <w:szCs w:val="20"/>
        </w:rPr>
        <w:t xml:space="preserve"> charges foncières et d</w:t>
      </w:r>
      <w:r w:rsidR="00D91466">
        <w:rPr>
          <w:rFonts w:ascii="Verdana" w:hAnsi="Verdana"/>
          <w:color w:val="000000" w:themeColor="text1"/>
          <w:sz w:val="20"/>
          <w:szCs w:val="20"/>
        </w:rPr>
        <w:t>e</w:t>
      </w:r>
      <w:r>
        <w:rPr>
          <w:rFonts w:ascii="Verdana" w:hAnsi="Verdana"/>
          <w:color w:val="000000" w:themeColor="text1"/>
          <w:sz w:val="20"/>
          <w:szCs w:val="20"/>
        </w:rPr>
        <w:t xml:space="preserve"> matériel qui ont </w:t>
      </w:r>
      <w:r w:rsidR="00D91466">
        <w:rPr>
          <w:rFonts w:ascii="Verdana" w:hAnsi="Verdana"/>
          <w:color w:val="000000" w:themeColor="text1"/>
          <w:sz w:val="20"/>
          <w:szCs w:val="20"/>
        </w:rPr>
        <w:t xml:space="preserve">connu la plus forte </w:t>
      </w:r>
      <w:r w:rsidR="00B93CAB">
        <w:rPr>
          <w:rFonts w:ascii="Verdana" w:hAnsi="Verdana"/>
          <w:color w:val="000000" w:themeColor="text1"/>
          <w:sz w:val="20"/>
          <w:szCs w:val="20"/>
        </w:rPr>
        <w:t>progressio</w:t>
      </w:r>
      <w:r w:rsidR="00D91466">
        <w:rPr>
          <w:rFonts w:ascii="Verdana" w:hAnsi="Verdana"/>
          <w:color w:val="000000" w:themeColor="text1"/>
          <w:sz w:val="20"/>
          <w:szCs w:val="20"/>
        </w:rPr>
        <w:t>n</w:t>
      </w:r>
      <w:r>
        <w:rPr>
          <w:rFonts w:ascii="Verdana" w:hAnsi="Verdana"/>
          <w:color w:val="000000" w:themeColor="text1"/>
          <w:sz w:val="20"/>
          <w:szCs w:val="20"/>
        </w:rPr>
        <w:t xml:space="preserve"> </w:t>
      </w:r>
      <w:r w:rsidR="00D91466">
        <w:rPr>
          <w:rFonts w:ascii="Verdana" w:hAnsi="Verdana"/>
          <w:color w:val="000000" w:themeColor="text1"/>
          <w:sz w:val="20"/>
          <w:szCs w:val="20"/>
        </w:rPr>
        <w:t>(+</w:t>
      </w:r>
      <w:r>
        <w:rPr>
          <w:rFonts w:ascii="Verdana" w:hAnsi="Verdana"/>
          <w:color w:val="000000" w:themeColor="text1"/>
          <w:sz w:val="20"/>
          <w:szCs w:val="20"/>
        </w:rPr>
        <w:t>20%</w:t>
      </w:r>
      <w:r w:rsidR="00D91466">
        <w:rPr>
          <w:rFonts w:ascii="Verdana" w:hAnsi="Verdana"/>
          <w:color w:val="000000" w:themeColor="text1"/>
          <w:sz w:val="20"/>
          <w:szCs w:val="20"/>
        </w:rPr>
        <w:t>)</w:t>
      </w:r>
      <w:r>
        <w:rPr>
          <w:rFonts w:ascii="Verdana" w:hAnsi="Verdana"/>
          <w:color w:val="000000" w:themeColor="text1"/>
          <w:sz w:val="20"/>
          <w:szCs w:val="20"/>
        </w:rPr>
        <w:t xml:space="preserve"> au cours de la décennie. Le produit ne suivant pas la même tendance, le revenu des agriculteurs s’eff</w:t>
      </w:r>
      <w:r w:rsidR="00B93CAB">
        <w:rPr>
          <w:rFonts w:ascii="Verdana" w:hAnsi="Verdana"/>
          <w:color w:val="000000" w:themeColor="text1"/>
          <w:sz w:val="20"/>
          <w:szCs w:val="20"/>
        </w:rPr>
        <w:t>rite</w:t>
      </w:r>
      <w:r>
        <w:rPr>
          <w:rFonts w:ascii="Verdana" w:hAnsi="Verdana"/>
          <w:color w:val="000000" w:themeColor="text1"/>
          <w:sz w:val="20"/>
          <w:szCs w:val="20"/>
        </w:rPr>
        <w:t xml:space="preserve"> d’année</w:t>
      </w:r>
      <w:r w:rsidR="00115165">
        <w:rPr>
          <w:rFonts w:ascii="Verdana" w:hAnsi="Verdana"/>
          <w:color w:val="000000" w:themeColor="text1"/>
          <w:sz w:val="20"/>
          <w:szCs w:val="20"/>
        </w:rPr>
        <w:t>s</w:t>
      </w:r>
      <w:r>
        <w:rPr>
          <w:rFonts w:ascii="Verdana" w:hAnsi="Verdana"/>
          <w:color w:val="000000" w:themeColor="text1"/>
          <w:sz w:val="20"/>
          <w:szCs w:val="20"/>
        </w:rPr>
        <w:t xml:space="preserve"> en années. </w:t>
      </w:r>
    </w:p>
    <w:p w:rsidR="00713619" w:rsidRDefault="00397458" w:rsidP="00713619">
      <w:pPr>
        <w:keepNext/>
        <w:jc w:val="center"/>
      </w:pPr>
      <w:r w:rsidRPr="00397458">
        <w:rPr>
          <w:noProof/>
          <w:lang w:eastAsia="fr-BE"/>
        </w:rPr>
        <w:drawing>
          <wp:inline distT="0" distB="0" distL="0" distR="0">
            <wp:extent cx="5183656" cy="1620000"/>
            <wp:effectExtent l="1905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47735"/>
                    <a:stretch/>
                  </pic:blipFill>
                  <pic:spPr bwMode="auto">
                    <a:xfrm>
                      <a:off x="0" y="0"/>
                      <a:ext cx="5183656" cy="1620000"/>
                    </a:xfrm>
                    <a:prstGeom prst="rect">
                      <a:avLst/>
                    </a:prstGeom>
                    <a:noFill/>
                    <a:ln>
                      <a:noFill/>
                    </a:ln>
                    <a:extLst>
                      <a:ext uri="{53640926-AAD7-44D8-BBD7-CCE9431645EC}">
                        <a14:shadowObscure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inline>
        </w:drawing>
      </w:r>
    </w:p>
    <w:p w:rsidR="0010485F" w:rsidRDefault="00713619" w:rsidP="008E4213">
      <w:pPr>
        <w:pStyle w:val="Lgende"/>
        <w:rPr>
          <w:sz w:val="20"/>
          <w:szCs w:val="20"/>
        </w:rPr>
      </w:pPr>
      <w:r>
        <w:t xml:space="preserve">Figure </w:t>
      </w:r>
      <w:r w:rsidR="004C6795">
        <w:rPr>
          <w:noProof/>
        </w:rPr>
        <w:fldChar w:fldCharType="begin"/>
      </w:r>
      <w:r w:rsidR="008A290D">
        <w:rPr>
          <w:noProof/>
        </w:rPr>
        <w:instrText xml:space="preserve"> SEQ Figure \* ARABIC </w:instrText>
      </w:r>
      <w:r w:rsidR="004C6795">
        <w:rPr>
          <w:noProof/>
        </w:rPr>
        <w:fldChar w:fldCharType="separate"/>
      </w:r>
      <w:r w:rsidR="008E4213">
        <w:rPr>
          <w:noProof/>
        </w:rPr>
        <w:t>3</w:t>
      </w:r>
      <w:r w:rsidR="004C6795">
        <w:rPr>
          <w:noProof/>
        </w:rPr>
        <w:fldChar w:fldCharType="end"/>
      </w:r>
      <w:r>
        <w:t xml:space="preserve"> Revenu par hectare de SAU</w:t>
      </w:r>
      <w:r w:rsidR="008A290D">
        <w:t xml:space="preserve"> 43€/ha</w:t>
      </w:r>
      <w:r>
        <w:t xml:space="preserve"> - bovins viande</w:t>
      </w:r>
    </w:p>
    <w:p w:rsidR="00A5407D" w:rsidRPr="008A290D" w:rsidRDefault="00D51931" w:rsidP="00D91466">
      <w:pPr>
        <w:spacing w:before="240"/>
        <w:jc w:val="both"/>
        <w:rPr>
          <w:rFonts w:ascii="Verdana" w:hAnsi="Verdana"/>
          <w:sz w:val="20"/>
          <w:szCs w:val="20"/>
        </w:rPr>
      </w:pPr>
      <w:r w:rsidRPr="008A290D">
        <w:rPr>
          <w:rFonts w:ascii="Verdana" w:hAnsi="Verdana"/>
          <w:sz w:val="20"/>
          <w:szCs w:val="20"/>
        </w:rPr>
        <w:t>L</w:t>
      </w:r>
      <w:r w:rsidR="00F45627" w:rsidRPr="008A290D">
        <w:rPr>
          <w:rFonts w:ascii="Verdana" w:hAnsi="Verdana"/>
          <w:sz w:val="20"/>
          <w:szCs w:val="20"/>
        </w:rPr>
        <w:t>es exploitations bovines combin</w:t>
      </w:r>
      <w:r w:rsidR="00A64C00" w:rsidRPr="008A290D">
        <w:rPr>
          <w:rFonts w:ascii="Verdana" w:hAnsi="Verdana"/>
          <w:sz w:val="20"/>
          <w:szCs w:val="20"/>
        </w:rPr>
        <w:t>a</w:t>
      </w:r>
      <w:r w:rsidR="00F45627" w:rsidRPr="008A290D">
        <w:rPr>
          <w:rFonts w:ascii="Verdana" w:hAnsi="Verdana"/>
          <w:sz w:val="20"/>
          <w:szCs w:val="20"/>
        </w:rPr>
        <w:t xml:space="preserve">nt </w:t>
      </w:r>
      <w:r w:rsidRPr="008A290D">
        <w:rPr>
          <w:rFonts w:ascii="Verdana" w:hAnsi="Verdana"/>
          <w:sz w:val="20"/>
          <w:szCs w:val="20"/>
        </w:rPr>
        <w:t xml:space="preserve">la </w:t>
      </w:r>
      <w:r w:rsidR="00F45627" w:rsidRPr="008A290D">
        <w:rPr>
          <w:rFonts w:ascii="Verdana" w:hAnsi="Verdana"/>
          <w:sz w:val="20"/>
          <w:szCs w:val="20"/>
        </w:rPr>
        <w:t xml:space="preserve">production laitière avec l’élevage et </w:t>
      </w:r>
      <w:r w:rsidR="00A64C00" w:rsidRPr="008A290D">
        <w:rPr>
          <w:rFonts w:ascii="Verdana" w:hAnsi="Verdana"/>
          <w:sz w:val="20"/>
          <w:szCs w:val="20"/>
        </w:rPr>
        <w:t xml:space="preserve">la </w:t>
      </w:r>
      <w:r w:rsidR="00F45627" w:rsidRPr="008A290D">
        <w:rPr>
          <w:rFonts w:ascii="Verdana" w:hAnsi="Verdana"/>
          <w:sz w:val="20"/>
          <w:szCs w:val="20"/>
        </w:rPr>
        <w:t>production de viande</w:t>
      </w:r>
      <w:r w:rsidRPr="008A290D">
        <w:rPr>
          <w:rFonts w:ascii="Verdana" w:hAnsi="Verdana"/>
          <w:sz w:val="20"/>
          <w:szCs w:val="20"/>
        </w:rPr>
        <w:t xml:space="preserve"> </w:t>
      </w:r>
      <w:r w:rsidR="00A64C00" w:rsidRPr="008A290D">
        <w:rPr>
          <w:rFonts w:ascii="Verdana" w:hAnsi="Verdana"/>
          <w:sz w:val="20"/>
          <w:szCs w:val="20"/>
        </w:rPr>
        <w:t>(OTE 470)</w:t>
      </w:r>
      <w:r w:rsidRPr="008A290D">
        <w:rPr>
          <w:rFonts w:ascii="Verdana" w:hAnsi="Verdana"/>
          <w:sz w:val="20"/>
          <w:szCs w:val="20"/>
        </w:rPr>
        <w:t xml:space="preserve">, </w:t>
      </w:r>
      <w:r w:rsidR="00A64C00" w:rsidRPr="008A290D">
        <w:rPr>
          <w:rFonts w:ascii="Verdana" w:hAnsi="Verdana"/>
          <w:sz w:val="20"/>
          <w:szCs w:val="20"/>
        </w:rPr>
        <w:t xml:space="preserve">verraient </w:t>
      </w:r>
      <w:r w:rsidRPr="008A290D">
        <w:rPr>
          <w:rFonts w:ascii="Verdana" w:hAnsi="Verdana"/>
          <w:sz w:val="20"/>
          <w:szCs w:val="20"/>
        </w:rPr>
        <w:t xml:space="preserve">leur </w:t>
      </w:r>
      <w:r w:rsidR="00F45627" w:rsidRPr="008A290D">
        <w:rPr>
          <w:rFonts w:ascii="Verdana" w:hAnsi="Verdana"/>
          <w:sz w:val="20"/>
          <w:szCs w:val="20"/>
        </w:rPr>
        <w:t xml:space="preserve">RT/ha s’établir à </w:t>
      </w:r>
      <w:r w:rsidR="00593F45" w:rsidRPr="008A290D">
        <w:rPr>
          <w:rFonts w:ascii="Verdana" w:hAnsi="Verdana"/>
          <w:sz w:val="20"/>
          <w:szCs w:val="20"/>
        </w:rPr>
        <w:t>284</w:t>
      </w:r>
      <w:r w:rsidRPr="008A290D">
        <w:rPr>
          <w:rFonts w:ascii="Verdana" w:hAnsi="Verdana"/>
          <w:sz w:val="20"/>
          <w:szCs w:val="20"/>
        </w:rPr>
        <w:t> </w:t>
      </w:r>
      <w:r w:rsidR="00F45627" w:rsidRPr="008A290D">
        <w:rPr>
          <w:rFonts w:ascii="Verdana" w:hAnsi="Verdana"/>
          <w:sz w:val="20"/>
          <w:szCs w:val="20"/>
        </w:rPr>
        <w:t xml:space="preserve">€/ha contre </w:t>
      </w:r>
      <w:r w:rsidR="00593F45" w:rsidRPr="008A290D">
        <w:rPr>
          <w:rFonts w:ascii="Verdana" w:hAnsi="Verdana"/>
          <w:sz w:val="20"/>
          <w:szCs w:val="20"/>
        </w:rPr>
        <w:t>394</w:t>
      </w:r>
      <w:r w:rsidRPr="008A290D">
        <w:rPr>
          <w:rFonts w:ascii="Verdana" w:hAnsi="Verdana"/>
          <w:sz w:val="20"/>
          <w:szCs w:val="20"/>
        </w:rPr>
        <w:t> </w:t>
      </w:r>
      <w:r w:rsidR="00E87543" w:rsidRPr="008A290D">
        <w:rPr>
          <w:rFonts w:ascii="Verdana" w:hAnsi="Verdana"/>
          <w:sz w:val="20"/>
          <w:szCs w:val="20"/>
        </w:rPr>
        <w:t>€/ha l’année précédente</w:t>
      </w:r>
      <w:r w:rsidR="00D91466" w:rsidRPr="008A290D">
        <w:rPr>
          <w:rFonts w:ascii="Verdana" w:hAnsi="Verdana"/>
          <w:sz w:val="20"/>
          <w:szCs w:val="20"/>
        </w:rPr>
        <w:t>, soit une baisse d’environ 30%</w:t>
      </w:r>
      <w:r w:rsidR="00F45627" w:rsidRPr="008A290D">
        <w:rPr>
          <w:rFonts w:ascii="Verdana" w:hAnsi="Verdana"/>
          <w:sz w:val="20"/>
          <w:szCs w:val="20"/>
        </w:rPr>
        <w:t xml:space="preserve">. </w:t>
      </w:r>
      <w:r w:rsidR="008B1110" w:rsidRPr="008A290D">
        <w:rPr>
          <w:rFonts w:ascii="Verdana" w:hAnsi="Verdana"/>
          <w:sz w:val="20"/>
          <w:szCs w:val="20"/>
        </w:rPr>
        <w:t>D</w:t>
      </w:r>
      <w:r w:rsidRPr="008A290D">
        <w:rPr>
          <w:rFonts w:ascii="Verdana" w:hAnsi="Verdana"/>
          <w:sz w:val="20"/>
          <w:szCs w:val="20"/>
        </w:rPr>
        <w:t xml:space="preserve">epuis le début de la décennie, </w:t>
      </w:r>
      <w:r w:rsidR="008B1110" w:rsidRPr="008A290D">
        <w:rPr>
          <w:rFonts w:ascii="Verdana" w:hAnsi="Verdana"/>
          <w:sz w:val="20"/>
          <w:szCs w:val="20"/>
        </w:rPr>
        <w:t>l</w:t>
      </w:r>
      <w:r w:rsidRPr="008A290D">
        <w:rPr>
          <w:rFonts w:ascii="Verdana" w:hAnsi="Verdana"/>
          <w:sz w:val="20"/>
          <w:szCs w:val="20"/>
        </w:rPr>
        <w:t xml:space="preserve">es </w:t>
      </w:r>
      <w:r w:rsidR="008B1110" w:rsidRPr="008A290D">
        <w:rPr>
          <w:rFonts w:ascii="Verdana" w:hAnsi="Verdana"/>
          <w:sz w:val="20"/>
          <w:szCs w:val="20"/>
        </w:rPr>
        <w:t>année</w:t>
      </w:r>
      <w:r w:rsidRPr="008A290D">
        <w:rPr>
          <w:rFonts w:ascii="Verdana" w:hAnsi="Verdana"/>
          <w:sz w:val="20"/>
          <w:szCs w:val="20"/>
        </w:rPr>
        <w:t>s</w:t>
      </w:r>
      <w:r w:rsidR="008B1110" w:rsidRPr="008A290D">
        <w:rPr>
          <w:rFonts w:ascii="Verdana" w:hAnsi="Verdana"/>
          <w:sz w:val="20"/>
          <w:szCs w:val="20"/>
        </w:rPr>
        <w:t xml:space="preserve"> 2015 </w:t>
      </w:r>
      <w:r w:rsidRPr="008A290D">
        <w:rPr>
          <w:rFonts w:ascii="Verdana" w:hAnsi="Verdana"/>
          <w:sz w:val="20"/>
          <w:szCs w:val="20"/>
        </w:rPr>
        <w:t xml:space="preserve">(216 €/ha) et 2016 (220 €/ha) ont </w:t>
      </w:r>
      <w:r w:rsidR="00B93CAB">
        <w:rPr>
          <w:rFonts w:ascii="Verdana" w:hAnsi="Verdana"/>
          <w:sz w:val="20"/>
          <w:szCs w:val="20"/>
        </w:rPr>
        <w:t xml:space="preserve">été </w:t>
      </w:r>
      <w:r w:rsidRPr="008A290D">
        <w:rPr>
          <w:rFonts w:ascii="Verdana" w:hAnsi="Verdana"/>
          <w:sz w:val="20"/>
          <w:szCs w:val="20"/>
        </w:rPr>
        <w:t xml:space="preserve">les plus mauvaises </w:t>
      </w:r>
      <w:r w:rsidR="00B93CAB">
        <w:rPr>
          <w:rFonts w:ascii="Verdana" w:hAnsi="Verdana"/>
          <w:sz w:val="20"/>
          <w:szCs w:val="20"/>
        </w:rPr>
        <w:t xml:space="preserve">tandis que </w:t>
      </w:r>
      <w:r w:rsidRPr="008A290D">
        <w:rPr>
          <w:rFonts w:ascii="Verdana" w:hAnsi="Verdana"/>
          <w:sz w:val="20"/>
          <w:szCs w:val="20"/>
        </w:rPr>
        <w:t>les années 2010 (515 €/ha) et 2011 (</w:t>
      </w:r>
      <w:r w:rsidR="002344F5" w:rsidRPr="008A290D">
        <w:rPr>
          <w:rFonts w:ascii="Verdana" w:hAnsi="Verdana"/>
          <w:sz w:val="20"/>
          <w:szCs w:val="20"/>
        </w:rPr>
        <w:t>568 €/ha)</w:t>
      </w:r>
      <w:r w:rsidR="00B93CAB">
        <w:rPr>
          <w:rFonts w:ascii="Verdana" w:hAnsi="Verdana"/>
          <w:sz w:val="20"/>
          <w:szCs w:val="20"/>
        </w:rPr>
        <w:t xml:space="preserve"> ont été</w:t>
      </w:r>
      <w:r w:rsidRPr="008A290D">
        <w:rPr>
          <w:rFonts w:ascii="Verdana" w:hAnsi="Verdana"/>
          <w:sz w:val="20"/>
          <w:szCs w:val="20"/>
        </w:rPr>
        <w:t xml:space="preserve"> les meilleures</w:t>
      </w:r>
      <w:r w:rsidR="008B1110" w:rsidRPr="008A290D">
        <w:rPr>
          <w:rFonts w:ascii="Verdana" w:hAnsi="Verdana"/>
          <w:sz w:val="20"/>
          <w:szCs w:val="20"/>
        </w:rPr>
        <w:t>.</w:t>
      </w:r>
    </w:p>
    <w:p w:rsidR="008B1110" w:rsidRDefault="008B1110" w:rsidP="00327B09">
      <w:pPr>
        <w:jc w:val="both"/>
        <w:rPr>
          <w:rFonts w:ascii="Verdana" w:hAnsi="Verdana"/>
          <w:sz w:val="20"/>
          <w:szCs w:val="20"/>
        </w:rPr>
      </w:pPr>
      <w:r>
        <w:rPr>
          <w:rFonts w:ascii="Verdana" w:hAnsi="Verdana"/>
          <w:sz w:val="20"/>
          <w:szCs w:val="20"/>
        </w:rPr>
        <w:t>Quant aux exploitations mixtes « cultures</w:t>
      </w:r>
      <w:r w:rsidR="00A64C00">
        <w:rPr>
          <w:rFonts w:ascii="Verdana" w:hAnsi="Verdana"/>
          <w:sz w:val="20"/>
          <w:szCs w:val="20"/>
        </w:rPr>
        <w:t> </w:t>
      </w:r>
      <w:r>
        <w:rPr>
          <w:rFonts w:ascii="Verdana" w:hAnsi="Verdana"/>
          <w:sz w:val="20"/>
          <w:szCs w:val="20"/>
        </w:rPr>
        <w:t>+</w:t>
      </w:r>
      <w:r w:rsidR="00A64C00">
        <w:rPr>
          <w:rFonts w:ascii="Verdana" w:hAnsi="Verdana"/>
          <w:sz w:val="20"/>
          <w:szCs w:val="20"/>
        </w:rPr>
        <w:t> </w:t>
      </w:r>
      <w:r>
        <w:rPr>
          <w:rFonts w:ascii="Verdana" w:hAnsi="Verdana"/>
          <w:sz w:val="20"/>
          <w:szCs w:val="20"/>
        </w:rPr>
        <w:t>lait » ou « cultures</w:t>
      </w:r>
      <w:r w:rsidR="00A64C00">
        <w:rPr>
          <w:rFonts w:ascii="Verdana" w:hAnsi="Verdana"/>
          <w:sz w:val="20"/>
          <w:szCs w:val="20"/>
        </w:rPr>
        <w:t> </w:t>
      </w:r>
      <w:r>
        <w:rPr>
          <w:rFonts w:ascii="Verdana" w:hAnsi="Verdana"/>
          <w:sz w:val="20"/>
          <w:szCs w:val="20"/>
        </w:rPr>
        <w:t>+</w:t>
      </w:r>
      <w:r w:rsidR="00A64C00">
        <w:rPr>
          <w:rFonts w:ascii="Verdana" w:hAnsi="Verdana"/>
          <w:sz w:val="20"/>
          <w:szCs w:val="20"/>
        </w:rPr>
        <w:t> </w:t>
      </w:r>
      <w:r>
        <w:rPr>
          <w:rFonts w:ascii="Verdana" w:hAnsi="Verdana"/>
          <w:sz w:val="20"/>
          <w:szCs w:val="20"/>
        </w:rPr>
        <w:t xml:space="preserve">herbivores non laitiers », </w:t>
      </w:r>
      <w:r w:rsidR="00B339F2">
        <w:rPr>
          <w:rFonts w:ascii="Verdana" w:hAnsi="Verdana"/>
          <w:sz w:val="20"/>
          <w:szCs w:val="20"/>
        </w:rPr>
        <w:t xml:space="preserve">qu’on ne fait qu’évoquer </w:t>
      </w:r>
      <w:r w:rsidR="00B93CAB">
        <w:rPr>
          <w:rFonts w:ascii="Verdana" w:hAnsi="Verdana"/>
          <w:sz w:val="20"/>
          <w:szCs w:val="20"/>
        </w:rPr>
        <w:t>ici</w:t>
      </w:r>
      <w:r w:rsidR="00B339F2">
        <w:rPr>
          <w:rFonts w:ascii="Verdana" w:hAnsi="Verdana"/>
          <w:sz w:val="20"/>
          <w:szCs w:val="20"/>
        </w:rPr>
        <w:t xml:space="preserve">, </w:t>
      </w:r>
      <w:r>
        <w:rPr>
          <w:rFonts w:ascii="Verdana" w:hAnsi="Verdana"/>
          <w:sz w:val="20"/>
          <w:szCs w:val="20"/>
        </w:rPr>
        <w:t>leur niveau de revenu (RT/ha) devrait en toute logique se situer entre celui des exploitations spécialisées en grandes cultures et</w:t>
      </w:r>
      <w:r w:rsidR="00505F5D">
        <w:rPr>
          <w:rFonts w:ascii="Verdana" w:hAnsi="Verdana"/>
          <w:sz w:val="20"/>
          <w:szCs w:val="20"/>
        </w:rPr>
        <w:t>,</w:t>
      </w:r>
      <w:r w:rsidR="00A26F20">
        <w:rPr>
          <w:rFonts w:ascii="Verdana" w:hAnsi="Verdana"/>
          <w:sz w:val="20"/>
          <w:szCs w:val="20"/>
        </w:rPr>
        <w:t xml:space="preserve"> </w:t>
      </w:r>
      <w:r w:rsidR="00505F5D">
        <w:rPr>
          <w:rFonts w:ascii="Verdana" w:hAnsi="Verdana"/>
          <w:sz w:val="20"/>
          <w:szCs w:val="20"/>
        </w:rPr>
        <w:t xml:space="preserve">selon le cas, </w:t>
      </w:r>
      <w:r w:rsidR="00A26F20">
        <w:rPr>
          <w:rFonts w:ascii="Verdana" w:hAnsi="Verdana"/>
          <w:sz w:val="20"/>
          <w:szCs w:val="20"/>
        </w:rPr>
        <w:t xml:space="preserve">celui des exploitations bovines </w:t>
      </w:r>
      <w:r w:rsidR="00505F5D">
        <w:rPr>
          <w:rFonts w:ascii="Verdana" w:hAnsi="Verdana"/>
          <w:sz w:val="20"/>
          <w:szCs w:val="20"/>
        </w:rPr>
        <w:t>lait</w:t>
      </w:r>
      <w:r w:rsidR="00CA178C">
        <w:rPr>
          <w:rFonts w:ascii="Verdana" w:hAnsi="Verdana"/>
          <w:sz w:val="20"/>
          <w:szCs w:val="20"/>
        </w:rPr>
        <w:t>i</w:t>
      </w:r>
      <w:r w:rsidR="00505F5D">
        <w:rPr>
          <w:rFonts w:ascii="Verdana" w:hAnsi="Verdana"/>
          <w:sz w:val="20"/>
          <w:szCs w:val="20"/>
        </w:rPr>
        <w:t xml:space="preserve">ères ou </w:t>
      </w:r>
      <w:r w:rsidR="00A26F20">
        <w:rPr>
          <w:rFonts w:ascii="Verdana" w:hAnsi="Verdana"/>
          <w:sz w:val="20"/>
          <w:szCs w:val="20"/>
        </w:rPr>
        <w:t>viandeuses. Le tout dépendant de la structure même des exploitations</w:t>
      </w:r>
      <w:r w:rsidR="00A64C00">
        <w:rPr>
          <w:rFonts w:ascii="Verdana" w:hAnsi="Verdana"/>
          <w:sz w:val="20"/>
          <w:szCs w:val="20"/>
        </w:rPr>
        <w:t xml:space="preserve"> concernées</w:t>
      </w:r>
      <w:r w:rsidR="00037C20">
        <w:rPr>
          <w:rFonts w:ascii="Verdana" w:hAnsi="Verdana"/>
          <w:sz w:val="20"/>
          <w:szCs w:val="20"/>
        </w:rPr>
        <w:t xml:space="preserve">. </w:t>
      </w:r>
      <w:r w:rsidR="000A1BB3">
        <w:rPr>
          <w:rFonts w:ascii="Verdana" w:hAnsi="Verdana"/>
          <w:sz w:val="20"/>
          <w:szCs w:val="20"/>
        </w:rPr>
        <w:t>Quoi qu’il en soit,</w:t>
      </w:r>
      <w:r w:rsidR="002344F5">
        <w:rPr>
          <w:rFonts w:ascii="Verdana" w:hAnsi="Verdana"/>
          <w:sz w:val="20"/>
          <w:szCs w:val="20"/>
        </w:rPr>
        <w:t xml:space="preserve"> l</w:t>
      </w:r>
      <w:r w:rsidR="000A1BB3">
        <w:rPr>
          <w:rFonts w:ascii="Verdana" w:hAnsi="Verdana"/>
          <w:sz w:val="20"/>
          <w:szCs w:val="20"/>
        </w:rPr>
        <w:t>’activité « cultures »</w:t>
      </w:r>
      <w:r w:rsidR="002344F5">
        <w:rPr>
          <w:rFonts w:ascii="Verdana" w:hAnsi="Verdana"/>
          <w:sz w:val="20"/>
          <w:szCs w:val="20"/>
        </w:rPr>
        <w:t xml:space="preserve"> devrait permettre de compenser </w:t>
      </w:r>
      <w:r w:rsidR="000A1BB3">
        <w:rPr>
          <w:rFonts w:ascii="Verdana" w:hAnsi="Verdana"/>
          <w:sz w:val="20"/>
          <w:szCs w:val="20"/>
        </w:rPr>
        <w:t xml:space="preserve">au moins partiellement </w:t>
      </w:r>
      <w:r w:rsidR="002344F5">
        <w:rPr>
          <w:rFonts w:ascii="Verdana" w:hAnsi="Verdana"/>
          <w:sz w:val="20"/>
          <w:szCs w:val="20"/>
        </w:rPr>
        <w:t>la baisse de rentabilité de la spéculation bovine.</w:t>
      </w:r>
    </w:p>
    <w:p w:rsidR="00A5407D" w:rsidRPr="00B339F2" w:rsidRDefault="008B1110" w:rsidP="00B339F2">
      <w:pPr>
        <w:spacing w:after="0"/>
        <w:jc w:val="both"/>
        <w:rPr>
          <w:rFonts w:ascii="Verdana" w:hAnsi="Verdana"/>
          <w:sz w:val="18"/>
          <w:szCs w:val="18"/>
          <w:u w:val="dottedHeavy"/>
        </w:rPr>
      </w:pPr>
      <w:r w:rsidRPr="00B339F2">
        <w:rPr>
          <w:rFonts w:ascii="Verdana" w:hAnsi="Verdana"/>
          <w:sz w:val="18"/>
          <w:szCs w:val="18"/>
          <w:u w:val="dottedHeavy"/>
        </w:rPr>
        <w:t xml:space="preserve">Remarque : </w:t>
      </w:r>
    </w:p>
    <w:p w:rsidR="003E2C53" w:rsidRPr="00B339F2" w:rsidRDefault="008B1110" w:rsidP="00327B09">
      <w:pPr>
        <w:jc w:val="both"/>
        <w:rPr>
          <w:rFonts w:ascii="Verdana" w:hAnsi="Verdana"/>
          <w:sz w:val="16"/>
          <w:szCs w:val="16"/>
        </w:rPr>
      </w:pPr>
      <w:r w:rsidRPr="00B339F2">
        <w:rPr>
          <w:rFonts w:ascii="Verdana" w:hAnsi="Verdana"/>
          <w:sz w:val="16"/>
          <w:szCs w:val="16"/>
        </w:rPr>
        <w:t xml:space="preserve">Ce qui vient d’être exposé doit </w:t>
      </w:r>
      <w:r w:rsidR="006C6E6C" w:rsidRPr="00B339F2">
        <w:rPr>
          <w:rFonts w:ascii="Verdana" w:hAnsi="Verdana"/>
          <w:sz w:val="16"/>
          <w:szCs w:val="16"/>
        </w:rPr>
        <w:t xml:space="preserve">être pris </w:t>
      </w:r>
      <w:r w:rsidRPr="00B339F2">
        <w:rPr>
          <w:rFonts w:ascii="Verdana" w:hAnsi="Verdana"/>
          <w:sz w:val="16"/>
          <w:szCs w:val="16"/>
        </w:rPr>
        <w:t xml:space="preserve">avec un certain recul </w:t>
      </w:r>
      <w:r w:rsidR="008D2646">
        <w:rPr>
          <w:rFonts w:ascii="Verdana" w:hAnsi="Verdana"/>
          <w:sz w:val="16"/>
          <w:szCs w:val="16"/>
        </w:rPr>
        <w:t xml:space="preserve">vu qu’à ce stade-ci des opérations de clôture comptable </w:t>
      </w:r>
      <w:r w:rsidR="000A1BB3">
        <w:rPr>
          <w:rFonts w:ascii="Verdana" w:hAnsi="Verdana"/>
          <w:sz w:val="16"/>
          <w:szCs w:val="16"/>
        </w:rPr>
        <w:t xml:space="preserve">une part non négligeable </w:t>
      </w:r>
      <w:r w:rsidRPr="00B339F2">
        <w:rPr>
          <w:rFonts w:ascii="Verdana" w:hAnsi="Verdana"/>
          <w:sz w:val="16"/>
          <w:szCs w:val="16"/>
        </w:rPr>
        <w:t>de</w:t>
      </w:r>
      <w:r w:rsidR="008D2646">
        <w:rPr>
          <w:rFonts w:ascii="Verdana" w:hAnsi="Verdana"/>
          <w:sz w:val="16"/>
          <w:szCs w:val="16"/>
        </w:rPr>
        <w:t>s</w:t>
      </w:r>
      <w:r w:rsidRPr="00B339F2">
        <w:rPr>
          <w:rFonts w:ascii="Verdana" w:hAnsi="Verdana"/>
          <w:sz w:val="16"/>
          <w:szCs w:val="16"/>
        </w:rPr>
        <w:t xml:space="preserve"> comptabilité</w:t>
      </w:r>
      <w:r w:rsidR="006C6E6C" w:rsidRPr="00B339F2">
        <w:rPr>
          <w:rFonts w:ascii="Verdana" w:hAnsi="Verdana"/>
          <w:sz w:val="16"/>
          <w:szCs w:val="16"/>
        </w:rPr>
        <w:t>s</w:t>
      </w:r>
      <w:r w:rsidRPr="00B339F2">
        <w:rPr>
          <w:rFonts w:ascii="Verdana" w:hAnsi="Verdana"/>
          <w:sz w:val="16"/>
          <w:szCs w:val="16"/>
        </w:rPr>
        <w:t xml:space="preserve"> du réseau comptable de la DAEA doit encore être </w:t>
      </w:r>
      <w:proofErr w:type="gramStart"/>
      <w:r w:rsidRPr="00B339F2">
        <w:rPr>
          <w:rFonts w:ascii="Verdana" w:hAnsi="Verdana"/>
          <w:sz w:val="16"/>
          <w:szCs w:val="16"/>
        </w:rPr>
        <w:t>versée</w:t>
      </w:r>
      <w:proofErr w:type="gramEnd"/>
      <w:r w:rsidRPr="00B339F2">
        <w:rPr>
          <w:rFonts w:ascii="Verdana" w:hAnsi="Verdana"/>
          <w:sz w:val="16"/>
          <w:szCs w:val="16"/>
        </w:rPr>
        <w:t xml:space="preserve"> dans la base de données</w:t>
      </w:r>
      <w:r w:rsidR="008D2646">
        <w:rPr>
          <w:rFonts w:ascii="Verdana" w:hAnsi="Verdana"/>
          <w:sz w:val="16"/>
          <w:szCs w:val="16"/>
        </w:rPr>
        <w:t xml:space="preserve">. Ceci </w:t>
      </w:r>
      <w:r w:rsidR="002344F5">
        <w:rPr>
          <w:rFonts w:ascii="Verdana" w:hAnsi="Verdana"/>
          <w:sz w:val="16"/>
          <w:szCs w:val="16"/>
        </w:rPr>
        <w:t xml:space="preserve">concerne </w:t>
      </w:r>
      <w:r w:rsidR="008D2646">
        <w:rPr>
          <w:rFonts w:ascii="Verdana" w:hAnsi="Verdana"/>
          <w:sz w:val="16"/>
          <w:szCs w:val="16"/>
        </w:rPr>
        <w:t xml:space="preserve">plus particulièrement </w:t>
      </w:r>
      <w:r w:rsidR="002344F5">
        <w:rPr>
          <w:rFonts w:ascii="Verdana" w:hAnsi="Verdana"/>
          <w:sz w:val="16"/>
          <w:szCs w:val="16"/>
        </w:rPr>
        <w:t>les exploitations mixtes « cultures</w:t>
      </w:r>
      <w:r w:rsidR="008D2646">
        <w:rPr>
          <w:rFonts w:ascii="Verdana" w:hAnsi="Verdana"/>
          <w:sz w:val="16"/>
          <w:szCs w:val="16"/>
        </w:rPr>
        <w:t> </w:t>
      </w:r>
      <w:r w:rsidR="002344F5">
        <w:rPr>
          <w:rFonts w:ascii="Verdana" w:hAnsi="Verdana"/>
          <w:sz w:val="16"/>
          <w:szCs w:val="16"/>
        </w:rPr>
        <w:t>+</w:t>
      </w:r>
      <w:r w:rsidR="008D2646">
        <w:rPr>
          <w:rFonts w:ascii="Verdana" w:hAnsi="Verdana"/>
          <w:sz w:val="16"/>
          <w:szCs w:val="16"/>
        </w:rPr>
        <w:t> </w:t>
      </w:r>
      <w:r w:rsidR="002344F5">
        <w:rPr>
          <w:rFonts w:ascii="Verdana" w:hAnsi="Verdana"/>
          <w:sz w:val="16"/>
          <w:szCs w:val="16"/>
        </w:rPr>
        <w:t>bovins » et, dans une mesure moindre, les exploitations spécialisées en grandes cultures</w:t>
      </w:r>
      <w:r w:rsidRPr="00B339F2">
        <w:rPr>
          <w:rFonts w:ascii="Verdana" w:hAnsi="Verdana"/>
          <w:sz w:val="16"/>
          <w:szCs w:val="16"/>
        </w:rPr>
        <w:t xml:space="preserve">. Néanmoins, les résultats </w:t>
      </w:r>
      <w:r w:rsidR="008D2646">
        <w:rPr>
          <w:rFonts w:ascii="Verdana" w:hAnsi="Verdana"/>
          <w:sz w:val="16"/>
          <w:szCs w:val="16"/>
        </w:rPr>
        <w:t xml:space="preserve">définitifs </w:t>
      </w:r>
      <w:r w:rsidRPr="00B339F2">
        <w:rPr>
          <w:rFonts w:ascii="Verdana" w:hAnsi="Verdana"/>
          <w:sz w:val="16"/>
          <w:szCs w:val="16"/>
        </w:rPr>
        <w:t xml:space="preserve">ne feront </w:t>
      </w:r>
      <w:r w:rsidR="006C6E6C" w:rsidRPr="00B339F2">
        <w:rPr>
          <w:rFonts w:ascii="Verdana" w:hAnsi="Verdana"/>
          <w:sz w:val="16"/>
          <w:szCs w:val="16"/>
        </w:rPr>
        <w:t xml:space="preserve">très probablement </w:t>
      </w:r>
      <w:r w:rsidRPr="00B339F2">
        <w:rPr>
          <w:rFonts w:ascii="Verdana" w:hAnsi="Verdana"/>
          <w:sz w:val="16"/>
          <w:szCs w:val="16"/>
        </w:rPr>
        <w:t xml:space="preserve">qu’affiner les </w:t>
      </w:r>
      <w:r w:rsidR="002344F5">
        <w:rPr>
          <w:rFonts w:ascii="Verdana" w:hAnsi="Verdana"/>
          <w:sz w:val="16"/>
          <w:szCs w:val="16"/>
        </w:rPr>
        <w:t xml:space="preserve">premiers </w:t>
      </w:r>
      <w:r w:rsidRPr="00B339F2">
        <w:rPr>
          <w:rFonts w:ascii="Verdana" w:hAnsi="Verdana"/>
          <w:sz w:val="16"/>
          <w:szCs w:val="16"/>
        </w:rPr>
        <w:t xml:space="preserve">chiffres </w:t>
      </w:r>
      <w:r w:rsidR="008D2646">
        <w:rPr>
          <w:rFonts w:ascii="Verdana" w:hAnsi="Verdana"/>
          <w:sz w:val="16"/>
          <w:szCs w:val="16"/>
        </w:rPr>
        <w:t>exposés dans le présent document</w:t>
      </w:r>
      <w:r w:rsidRPr="00B339F2">
        <w:rPr>
          <w:rFonts w:ascii="Verdana" w:hAnsi="Verdana"/>
          <w:sz w:val="16"/>
          <w:szCs w:val="16"/>
        </w:rPr>
        <w:t>. Ils apporteront en outre de l’information sur les orientations de production non passées en revue ici car trop peu représentées à ce stade</w:t>
      </w:r>
      <w:r w:rsidR="006C6E6C" w:rsidRPr="00B339F2">
        <w:rPr>
          <w:rFonts w:ascii="Verdana" w:hAnsi="Verdana"/>
          <w:sz w:val="16"/>
          <w:szCs w:val="16"/>
        </w:rPr>
        <w:t>-ci des clôtures comptables</w:t>
      </w:r>
      <w:r w:rsidRPr="00B339F2">
        <w:rPr>
          <w:rFonts w:ascii="Verdana" w:hAnsi="Verdana"/>
          <w:sz w:val="16"/>
          <w:szCs w:val="16"/>
        </w:rPr>
        <w:t>.</w:t>
      </w:r>
    </w:p>
    <w:p w:rsidR="00614311" w:rsidRDefault="00713619" w:rsidP="00614311">
      <w:pPr>
        <w:keepNext/>
        <w:jc w:val="center"/>
      </w:pPr>
      <w:r>
        <w:rPr>
          <w:noProof/>
          <w:lang w:eastAsia="fr-BE"/>
        </w:rPr>
        <w:drawing>
          <wp:inline distT="0" distB="0" distL="0" distR="0">
            <wp:extent cx="6000750" cy="2667000"/>
            <wp:effectExtent l="19050" t="0" r="19050" b="0"/>
            <wp:docPr id="6" name="Graphique 6">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605608" w:rsidRDefault="00614311" w:rsidP="008E4213">
      <w:pPr>
        <w:pStyle w:val="Lgende"/>
        <w:rPr>
          <w:sz w:val="20"/>
          <w:szCs w:val="20"/>
        </w:rPr>
      </w:pPr>
      <w:bookmarkStart w:id="1" w:name="_Ref520988808"/>
      <w:r>
        <w:t xml:space="preserve">Figure </w:t>
      </w:r>
      <w:r w:rsidR="004C6795">
        <w:rPr>
          <w:noProof/>
        </w:rPr>
        <w:fldChar w:fldCharType="begin"/>
      </w:r>
      <w:r w:rsidR="00CB3414">
        <w:rPr>
          <w:noProof/>
        </w:rPr>
        <w:instrText xml:space="preserve"> SEQ Figure \* ARABIC </w:instrText>
      </w:r>
      <w:r w:rsidR="004C6795">
        <w:rPr>
          <w:noProof/>
        </w:rPr>
        <w:fldChar w:fldCharType="separate"/>
      </w:r>
      <w:r w:rsidR="008E4213">
        <w:rPr>
          <w:noProof/>
        </w:rPr>
        <w:t>4</w:t>
      </w:r>
      <w:r w:rsidR="004C6795">
        <w:rPr>
          <w:noProof/>
        </w:rPr>
        <w:fldChar w:fldCharType="end"/>
      </w:r>
      <w:bookmarkEnd w:id="1"/>
      <w:r>
        <w:t xml:space="preserve"> </w:t>
      </w:r>
      <w:r w:rsidRPr="00884A72">
        <w:t>Evolution du Revenu du travail par ha de SAU</w:t>
      </w:r>
    </w:p>
    <w:p w:rsidR="008D2646" w:rsidRDefault="008D2646" w:rsidP="000F25A1">
      <w:pPr>
        <w:jc w:val="center"/>
        <w:rPr>
          <w:rFonts w:ascii="Verdana" w:hAnsi="Verdana"/>
          <w:sz w:val="20"/>
          <w:szCs w:val="20"/>
        </w:rPr>
      </w:pPr>
    </w:p>
    <w:p w:rsidR="00B339F2" w:rsidRPr="00B339F2" w:rsidRDefault="00B339F2" w:rsidP="00B339F2">
      <w:pPr>
        <w:pStyle w:val="Paragraphedeliste"/>
        <w:numPr>
          <w:ilvl w:val="0"/>
          <w:numId w:val="6"/>
        </w:numPr>
        <w:jc w:val="both"/>
        <w:rPr>
          <w:rFonts w:ascii="Verdana" w:hAnsi="Verdana"/>
          <w:sz w:val="20"/>
          <w:szCs w:val="20"/>
          <w:u w:val="single"/>
        </w:rPr>
      </w:pPr>
      <w:r w:rsidRPr="00B339F2">
        <w:rPr>
          <w:rFonts w:ascii="Verdana" w:hAnsi="Verdana"/>
          <w:sz w:val="20"/>
          <w:szCs w:val="20"/>
          <w:u w:val="single"/>
        </w:rPr>
        <w:t>Le Revenu du travail et du capital</w:t>
      </w:r>
      <w:r w:rsidR="00401B6A">
        <w:rPr>
          <w:rFonts w:ascii="Verdana" w:hAnsi="Verdana"/>
          <w:sz w:val="20"/>
          <w:szCs w:val="20"/>
          <w:u w:val="single"/>
        </w:rPr>
        <w:t xml:space="preserve"> par unité de travail familial </w:t>
      </w:r>
      <w:r w:rsidRPr="00B339F2">
        <w:rPr>
          <w:rFonts w:ascii="Verdana" w:hAnsi="Verdana"/>
          <w:sz w:val="20"/>
          <w:szCs w:val="20"/>
          <w:u w:val="single"/>
        </w:rPr>
        <w:t>(RTCF/UTF)</w:t>
      </w:r>
      <w:r w:rsidR="00D771CF">
        <w:rPr>
          <w:rStyle w:val="Appelnotedebasdep"/>
          <w:rFonts w:ascii="Verdana" w:hAnsi="Verdana"/>
          <w:sz w:val="20"/>
          <w:szCs w:val="20"/>
        </w:rPr>
        <w:footnoteReference w:id="3"/>
      </w:r>
    </w:p>
    <w:p w:rsidR="00525970" w:rsidRDefault="005F51CE" w:rsidP="00327B09">
      <w:pPr>
        <w:jc w:val="both"/>
        <w:rPr>
          <w:rFonts w:ascii="Verdana" w:hAnsi="Verdana"/>
          <w:sz w:val="20"/>
          <w:szCs w:val="20"/>
        </w:rPr>
      </w:pPr>
      <w:r>
        <w:rPr>
          <w:rFonts w:ascii="Verdana" w:hAnsi="Verdana"/>
          <w:sz w:val="20"/>
          <w:szCs w:val="20"/>
        </w:rPr>
        <w:t>Lorsque l’on s</w:t>
      </w:r>
      <w:r w:rsidR="009B48E1">
        <w:rPr>
          <w:rFonts w:ascii="Verdana" w:hAnsi="Verdana"/>
          <w:sz w:val="20"/>
          <w:szCs w:val="20"/>
        </w:rPr>
        <w:t>’intéresse au</w:t>
      </w:r>
      <w:r>
        <w:rPr>
          <w:rFonts w:ascii="Verdana" w:hAnsi="Verdana"/>
          <w:sz w:val="20"/>
          <w:szCs w:val="20"/>
        </w:rPr>
        <w:t xml:space="preserve"> Revenu du travail et du capital investi </w:t>
      </w:r>
      <w:r w:rsidR="00B339F2">
        <w:rPr>
          <w:rFonts w:ascii="Verdana" w:hAnsi="Verdana"/>
          <w:sz w:val="20"/>
          <w:szCs w:val="20"/>
        </w:rPr>
        <w:t xml:space="preserve">par l’exploitant et sa famille, exprimé </w:t>
      </w:r>
      <w:r>
        <w:rPr>
          <w:rFonts w:ascii="Verdana" w:hAnsi="Verdana"/>
          <w:sz w:val="20"/>
          <w:szCs w:val="20"/>
        </w:rPr>
        <w:t>par unité de travail familial</w:t>
      </w:r>
      <w:r w:rsidR="00314AF2">
        <w:rPr>
          <w:rFonts w:ascii="Verdana" w:hAnsi="Verdana"/>
          <w:sz w:val="20"/>
          <w:szCs w:val="20"/>
        </w:rPr>
        <w:t xml:space="preserve"> (RTCF/UTF)</w:t>
      </w:r>
      <w:r>
        <w:rPr>
          <w:rFonts w:ascii="Verdana" w:hAnsi="Verdana"/>
          <w:sz w:val="20"/>
          <w:szCs w:val="20"/>
        </w:rPr>
        <w:t xml:space="preserve">, les </w:t>
      </w:r>
      <w:r w:rsidR="009B48E1">
        <w:rPr>
          <w:rFonts w:ascii="Verdana" w:hAnsi="Verdana"/>
          <w:sz w:val="20"/>
          <w:szCs w:val="20"/>
        </w:rPr>
        <w:t xml:space="preserve">premiers </w:t>
      </w:r>
      <w:r>
        <w:rPr>
          <w:rFonts w:ascii="Verdana" w:hAnsi="Verdana"/>
          <w:sz w:val="20"/>
          <w:szCs w:val="20"/>
        </w:rPr>
        <w:t>résultats de 201</w:t>
      </w:r>
      <w:r w:rsidR="00C26BA3">
        <w:rPr>
          <w:rFonts w:ascii="Verdana" w:hAnsi="Verdana"/>
          <w:sz w:val="20"/>
          <w:szCs w:val="20"/>
        </w:rPr>
        <w:t>8</w:t>
      </w:r>
      <w:r>
        <w:rPr>
          <w:rFonts w:ascii="Verdana" w:hAnsi="Verdana"/>
          <w:sz w:val="20"/>
          <w:szCs w:val="20"/>
        </w:rPr>
        <w:t xml:space="preserve"> font apparaître</w:t>
      </w:r>
      <w:r w:rsidR="008D2646">
        <w:rPr>
          <w:rFonts w:ascii="Verdana" w:hAnsi="Verdana"/>
          <w:sz w:val="20"/>
          <w:szCs w:val="20"/>
        </w:rPr>
        <w:t>,</w:t>
      </w:r>
      <w:r>
        <w:rPr>
          <w:rFonts w:ascii="Verdana" w:hAnsi="Verdana"/>
          <w:sz w:val="20"/>
          <w:szCs w:val="20"/>
        </w:rPr>
        <w:t xml:space="preserve"> par rapport à l’exercice 201</w:t>
      </w:r>
      <w:r w:rsidR="00C26BA3">
        <w:rPr>
          <w:rFonts w:ascii="Verdana" w:hAnsi="Verdana"/>
          <w:sz w:val="20"/>
          <w:szCs w:val="20"/>
        </w:rPr>
        <w:t>7</w:t>
      </w:r>
      <w:r w:rsidR="008D2646">
        <w:rPr>
          <w:rFonts w:ascii="Verdana" w:hAnsi="Verdana"/>
          <w:sz w:val="20"/>
          <w:szCs w:val="20"/>
        </w:rPr>
        <w:t>,</w:t>
      </w:r>
      <w:r>
        <w:rPr>
          <w:rFonts w:ascii="Verdana" w:hAnsi="Verdana"/>
          <w:sz w:val="20"/>
          <w:szCs w:val="20"/>
        </w:rPr>
        <w:t xml:space="preserve"> une </w:t>
      </w:r>
      <w:r w:rsidR="0040526D">
        <w:rPr>
          <w:rFonts w:ascii="Verdana" w:hAnsi="Verdana"/>
          <w:sz w:val="20"/>
          <w:szCs w:val="20"/>
        </w:rPr>
        <w:t xml:space="preserve">évolution </w:t>
      </w:r>
      <w:r w:rsidR="00C26BA3">
        <w:rPr>
          <w:rFonts w:ascii="Verdana" w:hAnsi="Verdana"/>
          <w:sz w:val="20"/>
          <w:szCs w:val="20"/>
        </w:rPr>
        <w:t xml:space="preserve">similaire à celle observée </w:t>
      </w:r>
      <w:r w:rsidR="0040526D">
        <w:rPr>
          <w:rFonts w:ascii="Verdana" w:hAnsi="Verdana"/>
          <w:sz w:val="20"/>
          <w:szCs w:val="20"/>
        </w:rPr>
        <w:t>pour le RT/ha</w:t>
      </w:r>
      <w:r w:rsidR="00314AF2">
        <w:rPr>
          <w:rFonts w:ascii="Verdana" w:hAnsi="Verdana"/>
          <w:sz w:val="20"/>
          <w:szCs w:val="20"/>
        </w:rPr>
        <w:t>.</w:t>
      </w:r>
      <w:r w:rsidR="00DA7DCB">
        <w:rPr>
          <w:rFonts w:ascii="Verdana" w:hAnsi="Verdana"/>
          <w:sz w:val="20"/>
          <w:szCs w:val="20"/>
        </w:rPr>
        <w:t xml:space="preserve"> Il s’établi</w:t>
      </w:r>
      <w:r w:rsidR="008D2646">
        <w:rPr>
          <w:rFonts w:ascii="Verdana" w:hAnsi="Verdana"/>
          <w:sz w:val="20"/>
          <w:szCs w:val="20"/>
        </w:rPr>
        <w:t>rai</w:t>
      </w:r>
      <w:r w:rsidR="00DA7DCB">
        <w:rPr>
          <w:rFonts w:ascii="Verdana" w:hAnsi="Verdana"/>
          <w:sz w:val="20"/>
          <w:szCs w:val="20"/>
        </w:rPr>
        <w:t xml:space="preserve">t </w:t>
      </w:r>
      <w:r w:rsidR="00525970">
        <w:rPr>
          <w:rFonts w:ascii="Verdana" w:hAnsi="Verdana"/>
          <w:sz w:val="20"/>
          <w:szCs w:val="20"/>
        </w:rPr>
        <w:t>ainsi</w:t>
      </w:r>
      <w:r w:rsidR="004A5E87">
        <w:rPr>
          <w:rFonts w:ascii="Verdana" w:hAnsi="Verdana"/>
          <w:sz w:val="20"/>
          <w:szCs w:val="20"/>
        </w:rPr>
        <w:t>,</w:t>
      </w:r>
      <w:r w:rsidR="00525970">
        <w:rPr>
          <w:rFonts w:ascii="Verdana" w:hAnsi="Verdana"/>
          <w:sz w:val="20"/>
          <w:szCs w:val="20"/>
        </w:rPr>
        <w:t xml:space="preserve"> pour l’ensemble de la Wallonie</w:t>
      </w:r>
      <w:r w:rsidR="004A5E87">
        <w:rPr>
          <w:rFonts w:ascii="Verdana" w:hAnsi="Verdana"/>
          <w:sz w:val="20"/>
          <w:szCs w:val="20"/>
        </w:rPr>
        <w:t>,</w:t>
      </w:r>
      <w:r w:rsidR="00525970">
        <w:rPr>
          <w:rFonts w:ascii="Verdana" w:hAnsi="Verdana"/>
          <w:sz w:val="20"/>
          <w:szCs w:val="20"/>
        </w:rPr>
        <w:t xml:space="preserve"> </w:t>
      </w:r>
      <w:r w:rsidR="00DA7DCB">
        <w:rPr>
          <w:rFonts w:ascii="Verdana" w:hAnsi="Verdana"/>
          <w:sz w:val="20"/>
          <w:szCs w:val="20"/>
        </w:rPr>
        <w:t xml:space="preserve">à </w:t>
      </w:r>
      <w:r w:rsidR="00525970">
        <w:rPr>
          <w:rFonts w:ascii="Verdana" w:hAnsi="Verdana"/>
          <w:sz w:val="20"/>
          <w:szCs w:val="20"/>
        </w:rPr>
        <w:t>31</w:t>
      </w:r>
      <w:r w:rsidR="009B48E1">
        <w:rPr>
          <w:rFonts w:ascii="Verdana" w:hAnsi="Verdana"/>
          <w:sz w:val="20"/>
          <w:szCs w:val="20"/>
        </w:rPr>
        <w:t> </w:t>
      </w:r>
      <w:r w:rsidR="00525970">
        <w:rPr>
          <w:rFonts w:ascii="Verdana" w:hAnsi="Verdana"/>
          <w:sz w:val="20"/>
          <w:szCs w:val="20"/>
        </w:rPr>
        <w:t>131</w:t>
      </w:r>
      <w:r w:rsidR="00DA7DCB">
        <w:rPr>
          <w:rFonts w:ascii="Verdana" w:hAnsi="Verdana"/>
          <w:sz w:val="20"/>
          <w:szCs w:val="20"/>
        </w:rPr>
        <w:t> €/UTF</w:t>
      </w:r>
      <w:r w:rsidR="00314AF2">
        <w:rPr>
          <w:rFonts w:ascii="Verdana" w:hAnsi="Verdana"/>
          <w:sz w:val="20"/>
          <w:szCs w:val="20"/>
        </w:rPr>
        <w:t>.</w:t>
      </w:r>
    </w:p>
    <w:p w:rsidR="005E244B" w:rsidRDefault="00525970" w:rsidP="00462286">
      <w:pPr>
        <w:jc w:val="both"/>
        <w:rPr>
          <w:rFonts w:ascii="Verdana" w:hAnsi="Verdana"/>
          <w:sz w:val="20"/>
          <w:szCs w:val="20"/>
        </w:rPr>
      </w:pPr>
      <w:r>
        <w:rPr>
          <w:rFonts w:ascii="Verdana" w:hAnsi="Verdana"/>
          <w:sz w:val="20"/>
          <w:szCs w:val="20"/>
        </w:rPr>
        <w:t xml:space="preserve">Les </w:t>
      </w:r>
      <w:r w:rsidR="0040526D">
        <w:rPr>
          <w:rFonts w:ascii="Verdana" w:hAnsi="Verdana"/>
          <w:sz w:val="20"/>
          <w:szCs w:val="20"/>
        </w:rPr>
        <w:t>exploitations spécialisées en</w:t>
      </w:r>
      <w:r>
        <w:rPr>
          <w:rFonts w:ascii="Verdana" w:hAnsi="Verdana"/>
          <w:sz w:val="20"/>
          <w:szCs w:val="20"/>
        </w:rPr>
        <w:t xml:space="preserve"> grandes cultures, </w:t>
      </w:r>
      <w:r w:rsidR="0040526D">
        <w:rPr>
          <w:rFonts w:ascii="Verdana" w:hAnsi="Verdana"/>
          <w:sz w:val="20"/>
          <w:szCs w:val="20"/>
        </w:rPr>
        <w:t xml:space="preserve">enregistreraient </w:t>
      </w:r>
      <w:r w:rsidR="00446A56">
        <w:rPr>
          <w:rFonts w:ascii="Verdana" w:hAnsi="Verdana"/>
          <w:sz w:val="20"/>
          <w:szCs w:val="20"/>
        </w:rPr>
        <w:t>avec un RTCF/UTF de 57</w:t>
      </w:r>
      <w:r w:rsidR="0040526D">
        <w:rPr>
          <w:rFonts w:ascii="Verdana" w:hAnsi="Verdana"/>
          <w:sz w:val="20"/>
          <w:szCs w:val="20"/>
        </w:rPr>
        <w:t> </w:t>
      </w:r>
      <w:r w:rsidR="00446A56">
        <w:rPr>
          <w:rFonts w:ascii="Verdana" w:hAnsi="Verdana"/>
          <w:sz w:val="20"/>
          <w:szCs w:val="20"/>
        </w:rPr>
        <w:t>927€/UTF</w:t>
      </w:r>
      <w:r w:rsidR="0040526D">
        <w:rPr>
          <w:rFonts w:ascii="Verdana" w:hAnsi="Verdana"/>
          <w:sz w:val="20"/>
          <w:szCs w:val="20"/>
        </w:rPr>
        <w:t xml:space="preserve"> une amélioration de 36% par rapport à 2017</w:t>
      </w:r>
      <w:r w:rsidR="00446A56">
        <w:rPr>
          <w:rFonts w:ascii="Verdana" w:hAnsi="Verdana"/>
          <w:sz w:val="20"/>
          <w:szCs w:val="20"/>
        </w:rPr>
        <w:t xml:space="preserve">. </w:t>
      </w:r>
      <w:r w:rsidR="00314AF2">
        <w:rPr>
          <w:rFonts w:ascii="Verdana" w:hAnsi="Verdana"/>
          <w:sz w:val="20"/>
          <w:szCs w:val="20"/>
        </w:rPr>
        <w:t xml:space="preserve">En production laitière, le RTCF/UTF </w:t>
      </w:r>
      <w:r w:rsidR="00DA7DCB">
        <w:rPr>
          <w:rFonts w:ascii="Verdana" w:hAnsi="Verdana"/>
          <w:sz w:val="20"/>
          <w:szCs w:val="20"/>
        </w:rPr>
        <w:t>(</w:t>
      </w:r>
      <w:r w:rsidR="00446A56">
        <w:rPr>
          <w:rFonts w:ascii="Verdana" w:hAnsi="Verdana"/>
          <w:sz w:val="20"/>
          <w:szCs w:val="20"/>
        </w:rPr>
        <w:t>24</w:t>
      </w:r>
      <w:r w:rsidR="0040526D">
        <w:rPr>
          <w:rFonts w:ascii="Verdana" w:hAnsi="Verdana"/>
          <w:sz w:val="20"/>
          <w:szCs w:val="20"/>
        </w:rPr>
        <w:t> </w:t>
      </w:r>
      <w:r w:rsidR="00446A56">
        <w:rPr>
          <w:rFonts w:ascii="Verdana" w:hAnsi="Verdana"/>
          <w:sz w:val="20"/>
          <w:szCs w:val="20"/>
        </w:rPr>
        <w:t>098</w:t>
      </w:r>
      <w:r w:rsidR="0040526D">
        <w:rPr>
          <w:rFonts w:ascii="Verdana" w:hAnsi="Verdana"/>
          <w:sz w:val="20"/>
          <w:szCs w:val="20"/>
        </w:rPr>
        <w:t> </w:t>
      </w:r>
      <w:r w:rsidR="00DA7DCB">
        <w:rPr>
          <w:rFonts w:ascii="Verdana" w:hAnsi="Verdana"/>
          <w:sz w:val="20"/>
          <w:szCs w:val="20"/>
        </w:rPr>
        <w:t xml:space="preserve">€/UTF) </w:t>
      </w:r>
      <w:r w:rsidR="0040526D">
        <w:rPr>
          <w:rFonts w:ascii="Verdana" w:hAnsi="Verdana"/>
          <w:sz w:val="20"/>
          <w:szCs w:val="20"/>
        </w:rPr>
        <w:t>accuserait</w:t>
      </w:r>
      <w:r w:rsidR="00C26BA3">
        <w:rPr>
          <w:rFonts w:ascii="Verdana" w:hAnsi="Verdana"/>
          <w:sz w:val="20"/>
          <w:szCs w:val="20"/>
        </w:rPr>
        <w:t xml:space="preserve"> </w:t>
      </w:r>
      <w:r w:rsidR="0040526D">
        <w:rPr>
          <w:rFonts w:ascii="Verdana" w:hAnsi="Verdana"/>
          <w:sz w:val="20"/>
          <w:szCs w:val="20"/>
        </w:rPr>
        <w:t>u</w:t>
      </w:r>
      <w:r w:rsidR="00C26BA3">
        <w:rPr>
          <w:rFonts w:ascii="Verdana" w:hAnsi="Verdana"/>
          <w:sz w:val="20"/>
          <w:szCs w:val="20"/>
        </w:rPr>
        <w:t xml:space="preserve">n </w:t>
      </w:r>
      <w:r w:rsidR="0040526D">
        <w:rPr>
          <w:rFonts w:ascii="Verdana" w:hAnsi="Verdana"/>
          <w:sz w:val="20"/>
          <w:szCs w:val="20"/>
        </w:rPr>
        <w:t>recul</w:t>
      </w:r>
      <w:r w:rsidR="00E87543">
        <w:rPr>
          <w:rFonts w:ascii="Verdana" w:hAnsi="Verdana"/>
          <w:sz w:val="20"/>
          <w:szCs w:val="20"/>
        </w:rPr>
        <w:t xml:space="preserve"> </w:t>
      </w:r>
      <w:r w:rsidR="00401B6A">
        <w:rPr>
          <w:rFonts w:ascii="Verdana" w:hAnsi="Verdana"/>
          <w:sz w:val="20"/>
          <w:szCs w:val="20"/>
        </w:rPr>
        <w:t xml:space="preserve">de </w:t>
      </w:r>
      <w:r w:rsidR="00DA7DCB">
        <w:rPr>
          <w:rFonts w:ascii="Verdana" w:hAnsi="Verdana"/>
          <w:sz w:val="20"/>
          <w:szCs w:val="20"/>
        </w:rPr>
        <w:t xml:space="preserve">près de </w:t>
      </w:r>
      <w:r w:rsidR="00446A56">
        <w:rPr>
          <w:rFonts w:ascii="Verdana" w:hAnsi="Verdana"/>
          <w:sz w:val="20"/>
          <w:szCs w:val="20"/>
        </w:rPr>
        <w:t>3</w:t>
      </w:r>
      <w:r w:rsidR="0040526D">
        <w:rPr>
          <w:rFonts w:ascii="Verdana" w:hAnsi="Verdana"/>
          <w:sz w:val="20"/>
          <w:szCs w:val="20"/>
        </w:rPr>
        <w:t>7</w:t>
      </w:r>
      <w:r w:rsidR="00DA7DCB">
        <w:rPr>
          <w:rFonts w:ascii="Verdana" w:hAnsi="Verdana"/>
          <w:sz w:val="20"/>
          <w:szCs w:val="20"/>
        </w:rPr>
        <w:t>%</w:t>
      </w:r>
      <w:r w:rsidR="00314AF2">
        <w:rPr>
          <w:rFonts w:ascii="Verdana" w:hAnsi="Verdana"/>
          <w:sz w:val="20"/>
          <w:szCs w:val="20"/>
        </w:rPr>
        <w:t xml:space="preserve">. </w:t>
      </w:r>
      <w:r w:rsidR="008D2646">
        <w:rPr>
          <w:rFonts w:ascii="Verdana" w:hAnsi="Verdana"/>
          <w:sz w:val="20"/>
          <w:szCs w:val="20"/>
        </w:rPr>
        <w:t>Tandis qu’e</w:t>
      </w:r>
      <w:r w:rsidR="00E87543">
        <w:rPr>
          <w:rFonts w:ascii="Verdana" w:hAnsi="Verdana"/>
          <w:sz w:val="20"/>
          <w:szCs w:val="20"/>
        </w:rPr>
        <w:t xml:space="preserve">n production </w:t>
      </w:r>
      <w:r w:rsidR="008D2646">
        <w:rPr>
          <w:rFonts w:ascii="Verdana" w:hAnsi="Verdana"/>
          <w:sz w:val="20"/>
          <w:szCs w:val="20"/>
        </w:rPr>
        <w:t xml:space="preserve">bovine </w:t>
      </w:r>
      <w:r w:rsidR="00E87543">
        <w:rPr>
          <w:rFonts w:ascii="Verdana" w:hAnsi="Verdana"/>
          <w:sz w:val="20"/>
          <w:szCs w:val="20"/>
        </w:rPr>
        <w:t>viandeuse,</w:t>
      </w:r>
      <w:r w:rsidR="00314AF2">
        <w:rPr>
          <w:rFonts w:ascii="Verdana" w:hAnsi="Verdana"/>
          <w:sz w:val="20"/>
          <w:szCs w:val="20"/>
        </w:rPr>
        <w:t xml:space="preserve"> </w:t>
      </w:r>
      <w:r w:rsidR="00E87543">
        <w:rPr>
          <w:rFonts w:ascii="Verdana" w:hAnsi="Verdana"/>
          <w:sz w:val="20"/>
          <w:szCs w:val="20"/>
        </w:rPr>
        <w:t>l</w:t>
      </w:r>
      <w:r w:rsidR="00314AF2">
        <w:rPr>
          <w:rFonts w:ascii="Verdana" w:hAnsi="Verdana"/>
          <w:sz w:val="20"/>
          <w:szCs w:val="20"/>
        </w:rPr>
        <w:t xml:space="preserve">e RTCF/UTF s’établirait </w:t>
      </w:r>
      <w:r w:rsidR="00301689">
        <w:rPr>
          <w:rFonts w:ascii="Verdana" w:hAnsi="Verdana"/>
          <w:sz w:val="20"/>
          <w:szCs w:val="20"/>
        </w:rPr>
        <w:t>à</w:t>
      </w:r>
      <w:r w:rsidR="00314AF2">
        <w:rPr>
          <w:rFonts w:ascii="Verdana" w:hAnsi="Verdana"/>
          <w:sz w:val="20"/>
          <w:szCs w:val="20"/>
        </w:rPr>
        <w:t xml:space="preserve"> </w:t>
      </w:r>
      <w:r w:rsidR="00446A56">
        <w:rPr>
          <w:rFonts w:ascii="Verdana" w:hAnsi="Verdana"/>
          <w:sz w:val="20"/>
          <w:szCs w:val="20"/>
        </w:rPr>
        <w:t>12</w:t>
      </w:r>
      <w:r w:rsidR="0040526D">
        <w:rPr>
          <w:rFonts w:ascii="Verdana" w:hAnsi="Verdana"/>
          <w:sz w:val="20"/>
          <w:szCs w:val="20"/>
        </w:rPr>
        <w:t> </w:t>
      </w:r>
      <w:r w:rsidR="00446A56">
        <w:rPr>
          <w:rFonts w:ascii="Verdana" w:hAnsi="Verdana"/>
          <w:sz w:val="20"/>
          <w:szCs w:val="20"/>
        </w:rPr>
        <w:t>402</w:t>
      </w:r>
      <w:r w:rsidR="00A77007">
        <w:rPr>
          <w:rFonts w:ascii="Verdana" w:hAnsi="Verdana"/>
          <w:sz w:val="20"/>
          <w:szCs w:val="20"/>
        </w:rPr>
        <w:t xml:space="preserve"> €/UTF, soit </w:t>
      </w:r>
      <w:r w:rsidR="00446A56">
        <w:rPr>
          <w:rFonts w:ascii="Verdana" w:hAnsi="Verdana"/>
          <w:sz w:val="20"/>
          <w:szCs w:val="20"/>
        </w:rPr>
        <w:t xml:space="preserve">13% </w:t>
      </w:r>
      <w:r w:rsidR="00E23FEB">
        <w:rPr>
          <w:rFonts w:ascii="Verdana" w:hAnsi="Verdana"/>
          <w:sz w:val="20"/>
          <w:szCs w:val="20"/>
        </w:rPr>
        <w:t>de mieux qu’en</w:t>
      </w:r>
      <w:r w:rsidR="00CB3414">
        <w:rPr>
          <w:rFonts w:ascii="Verdana" w:hAnsi="Verdana"/>
          <w:sz w:val="20"/>
          <w:szCs w:val="20"/>
        </w:rPr>
        <w:t xml:space="preserve"> 2017, </w:t>
      </w:r>
      <w:r w:rsidR="00E23FEB">
        <w:rPr>
          <w:rFonts w:ascii="Verdana" w:hAnsi="Verdana"/>
          <w:sz w:val="20"/>
          <w:szCs w:val="20"/>
        </w:rPr>
        <w:t xml:space="preserve">mauvaise </w:t>
      </w:r>
      <w:r w:rsidR="00CB3414">
        <w:rPr>
          <w:rFonts w:ascii="Verdana" w:hAnsi="Verdana"/>
          <w:sz w:val="20"/>
          <w:szCs w:val="20"/>
        </w:rPr>
        <w:t>année p</w:t>
      </w:r>
      <w:r w:rsidR="00E23FEB">
        <w:rPr>
          <w:rFonts w:ascii="Verdana" w:hAnsi="Verdana"/>
          <w:sz w:val="20"/>
          <w:szCs w:val="20"/>
        </w:rPr>
        <w:t>our ce secteur</w:t>
      </w:r>
      <w:r w:rsidR="00314AF2">
        <w:rPr>
          <w:rFonts w:ascii="Verdana" w:hAnsi="Verdana"/>
          <w:sz w:val="20"/>
          <w:szCs w:val="20"/>
        </w:rPr>
        <w:t xml:space="preserve">. </w:t>
      </w:r>
    </w:p>
    <w:p w:rsidR="00B339F2" w:rsidRPr="00B339F2" w:rsidRDefault="00B339F2" w:rsidP="008A290D">
      <w:pPr>
        <w:pStyle w:val="Paragraphedeliste"/>
        <w:keepNext/>
        <w:numPr>
          <w:ilvl w:val="0"/>
          <w:numId w:val="6"/>
        </w:numPr>
        <w:jc w:val="both"/>
        <w:rPr>
          <w:rFonts w:ascii="Verdana" w:hAnsi="Verdana"/>
          <w:sz w:val="20"/>
          <w:szCs w:val="20"/>
          <w:u w:val="single"/>
        </w:rPr>
      </w:pPr>
      <w:r w:rsidRPr="00B339F2">
        <w:rPr>
          <w:rFonts w:ascii="Verdana" w:hAnsi="Verdana"/>
          <w:sz w:val="20"/>
          <w:szCs w:val="20"/>
          <w:u w:val="single"/>
        </w:rPr>
        <w:t>L</w:t>
      </w:r>
      <w:r>
        <w:rPr>
          <w:rFonts w:ascii="Verdana" w:hAnsi="Verdana"/>
          <w:sz w:val="20"/>
          <w:szCs w:val="20"/>
          <w:u w:val="single"/>
        </w:rPr>
        <w:t>e poids des aides et indemnités dans la valeur du produit de l’exploitation</w:t>
      </w:r>
    </w:p>
    <w:p w:rsidR="005E244B" w:rsidRDefault="008D2646" w:rsidP="008A290D">
      <w:pPr>
        <w:keepNext/>
        <w:jc w:val="both"/>
        <w:rPr>
          <w:rFonts w:ascii="Verdana" w:hAnsi="Verdana"/>
          <w:sz w:val="20"/>
          <w:szCs w:val="20"/>
        </w:rPr>
      </w:pPr>
      <w:r>
        <w:rPr>
          <w:rFonts w:ascii="Verdana" w:hAnsi="Verdana"/>
          <w:sz w:val="20"/>
          <w:szCs w:val="20"/>
        </w:rPr>
        <w:t>Ainsi que les rapports sur « l’évolution de l’économie agricole et horticole en Wallonie »</w:t>
      </w:r>
      <w:r w:rsidRPr="008D2646">
        <w:rPr>
          <w:rStyle w:val="Appelnotedebasdep"/>
          <w:rFonts w:ascii="Verdana" w:hAnsi="Verdana"/>
          <w:sz w:val="20"/>
          <w:szCs w:val="20"/>
        </w:rPr>
        <w:t xml:space="preserve"> </w:t>
      </w:r>
      <w:r>
        <w:rPr>
          <w:rStyle w:val="Appelnotedebasdep"/>
          <w:rFonts w:ascii="Verdana" w:hAnsi="Verdana"/>
          <w:sz w:val="20"/>
          <w:szCs w:val="20"/>
        </w:rPr>
        <w:footnoteReference w:id="4"/>
      </w:r>
      <w:r>
        <w:rPr>
          <w:rFonts w:ascii="Verdana" w:hAnsi="Verdana"/>
          <w:sz w:val="20"/>
          <w:szCs w:val="20"/>
        </w:rPr>
        <w:t xml:space="preserve"> le </w:t>
      </w:r>
      <w:r w:rsidR="005E244B">
        <w:rPr>
          <w:rFonts w:ascii="Verdana" w:hAnsi="Verdana"/>
          <w:sz w:val="20"/>
          <w:szCs w:val="20"/>
        </w:rPr>
        <w:t xml:space="preserve">mettent en lumière </w:t>
      </w:r>
      <w:r>
        <w:rPr>
          <w:rFonts w:ascii="Verdana" w:hAnsi="Verdana"/>
          <w:sz w:val="20"/>
          <w:szCs w:val="20"/>
        </w:rPr>
        <w:t>d’année en année</w:t>
      </w:r>
      <w:r w:rsidR="00E23FEB">
        <w:rPr>
          <w:rFonts w:ascii="Verdana" w:hAnsi="Verdana"/>
          <w:sz w:val="20"/>
          <w:szCs w:val="20"/>
        </w:rPr>
        <w:t>s</w:t>
      </w:r>
      <w:r>
        <w:rPr>
          <w:rFonts w:ascii="Verdana" w:hAnsi="Verdana"/>
          <w:sz w:val="20"/>
          <w:szCs w:val="20"/>
        </w:rPr>
        <w:t>, l</w:t>
      </w:r>
      <w:r w:rsidR="00314AF2">
        <w:rPr>
          <w:rFonts w:ascii="Verdana" w:hAnsi="Verdana"/>
          <w:sz w:val="20"/>
          <w:szCs w:val="20"/>
        </w:rPr>
        <w:t xml:space="preserve">e résultat des exploitations wallonnes est </w:t>
      </w:r>
      <w:r>
        <w:rPr>
          <w:rFonts w:ascii="Verdana" w:hAnsi="Verdana"/>
          <w:sz w:val="20"/>
          <w:szCs w:val="20"/>
        </w:rPr>
        <w:t xml:space="preserve">fortement </w:t>
      </w:r>
      <w:r w:rsidR="005E244B">
        <w:rPr>
          <w:rFonts w:ascii="Verdana" w:hAnsi="Verdana"/>
          <w:sz w:val="20"/>
          <w:szCs w:val="20"/>
        </w:rPr>
        <w:t xml:space="preserve">dépendant </w:t>
      </w:r>
      <w:r w:rsidR="009D022F">
        <w:rPr>
          <w:rFonts w:ascii="Verdana" w:hAnsi="Verdana"/>
          <w:sz w:val="20"/>
          <w:szCs w:val="20"/>
        </w:rPr>
        <w:t>du niveau des aides, notamment celles des 1</w:t>
      </w:r>
      <w:r w:rsidR="009D022F" w:rsidRPr="009D022F">
        <w:rPr>
          <w:rFonts w:ascii="Verdana" w:hAnsi="Verdana"/>
          <w:sz w:val="20"/>
          <w:szCs w:val="20"/>
          <w:vertAlign w:val="superscript"/>
        </w:rPr>
        <w:t>er</w:t>
      </w:r>
      <w:r w:rsidR="009D022F">
        <w:rPr>
          <w:rFonts w:ascii="Verdana" w:hAnsi="Verdana"/>
          <w:sz w:val="20"/>
          <w:szCs w:val="20"/>
        </w:rPr>
        <w:t xml:space="preserve"> et 2</w:t>
      </w:r>
      <w:r w:rsidR="009D022F" w:rsidRPr="009D022F">
        <w:rPr>
          <w:rFonts w:ascii="Verdana" w:hAnsi="Verdana"/>
          <w:sz w:val="20"/>
          <w:szCs w:val="20"/>
          <w:vertAlign w:val="superscript"/>
        </w:rPr>
        <w:t>ème</w:t>
      </w:r>
      <w:r w:rsidR="009D022F">
        <w:rPr>
          <w:rFonts w:ascii="Verdana" w:hAnsi="Verdana"/>
          <w:sz w:val="20"/>
          <w:szCs w:val="20"/>
        </w:rPr>
        <w:t xml:space="preserve"> piliers de la PAC (politique agricole commune). Ainsi, considérant le </w:t>
      </w:r>
      <w:r w:rsidR="005509D7" w:rsidRPr="00990788">
        <w:rPr>
          <w:rFonts w:ascii="Verdana" w:hAnsi="Verdana"/>
          <w:sz w:val="20"/>
          <w:szCs w:val="20"/>
        </w:rPr>
        <w:t>produit total</w:t>
      </w:r>
      <w:r w:rsidR="009D022F">
        <w:rPr>
          <w:rFonts w:ascii="Verdana" w:hAnsi="Verdana"/>
          <w:sz w:val="20"/>
          <w:szCs w:val="20"/>
        </w:rPr>
        <w:t xml:space="preserve"> des exploitations </w:t>
      </w:r>
      <w:r w:rsidR="00505F5D">
        <w:rPr>
          <w:rFonts w:ascii="Verdana" w:hAnsi="Verdana"/>
          <w:sz w:val="20"/>
          <w:szCs w:val="20"/>
        </w:rPr>
        <w:t xml:space="preserve">intégrées à </w:t>
      </w:r>
      <w:r w:rsidR="009D022F">
        <w:rPr>
          <w:rFonts w:ascii="Verdana" w:hAnsi="Verdana"/>
          <w:sz w:val="20"/>
          <w:szCs w:val="20"/>
        </w:rPr>
        <w:t xml:space="preserve">la base de données de la DAEA, on observe qu’environ </w:t>
      </w:r>
      <w:r w:rsidR="009D022F" w:rsidRPr="00462286">
        <w:rPr>
          <w:rFonts w:ascii="Verdana" w:hAnsi="Verdana"/>
          <w:sz w:val="20"/>
          <w:szCs w:val="20"/>
        </w:rPr>
        <w:t>1</w:t>
      </w:r>
      <w:r w:rsidR="00E23FEB">
        <w:rPr>
          <w:rFonts w:ascii="Verdana" w:hAnsi="Verdana"/>
          <w:sz w:val="20"/>
          <w:szCs w:val="20"/>
        </w:rPr>
        <w:t>6</w:t>
      </w:r>
      <w:r w:rsidR="009D022F" w:rsidRPr="00462286">
        <w:rPr>
          <w:rFonts w:ascii="Verdana" w:hAnsi="Verdana"/>
          <w:sz w:val="20"/>
          <w:szCs w:val="20"/>
        </w:rPr>
        <w:t> % d</w:t>
      </w:r>
      <w:r w:rsidR="009D022F">
        <w:rPr>
          <w:rFonts w:ascii="Verdana" w:hAnsi="Verdana"/>
          <w:sz w:val="20"/>
          <w:szCs w:val="20"/>
        </w:rPr>
        <w:t xml:space="preserve">es produits sont des aides. Selon les orientations de production (OTE) nous avons un gradient qui va de </w:t>
      </w:r>
      <w:r w:rsidR="00591661">
        <w:rPr>
          <w:rFonts w:ascii="Verdana" w:hAnsi="Verdana"/>
          <w:sz w:val="20"/>
          <w:szCs w:val="20"/>
        </w:rPr>
        <w:t>1</w:t>
      </w:r>
      <w:r w:rsidR="00E23FEB">
        <w:rPr>
          <w:rFonts w:ascii="Verdana" w:hAnsi="Verdana"/>
          <w:sz w:val="20"/>
          <w:szCs w:val="20"/>
        </w:rPr>
        <w:t>2</w:t>
      </w:r>
      <w:r w:rsidR="009D022F">
        <w:rPr>
          <w:rFonts w:ascii="Verdana" w:hAnsi="Verdana"/>
          <w:sz w:val="20"/>
          <w:szCs w:val="20"/>
        </w:rPr>
        <w:t> % pour les exploitations laitières spécialisées à</w:t>
      </w:r>
      <w:r w:rsidR="00E23FEB">
        <w:rPr>
          <w:rFonts w:ascii="Verdana" w:hAnsi="Verdana"/>
          <w:sz w:val="20"/>
          <w:szCs w:val="20"/>
        </w:rPr>
        <w:t xml:space="preserve"> près de</w:t>
      </w:r>
      <w:r w:rsidR="009D022F">
        <w:rPr>
          <w:rFonts w:ascii="Verdana" w:hAnsi="Verdana"/>
          <w:sz w:val="20"/>
          <w:szCs w:val="20"/>
        </w:rPr>
        <w:t xml:space="preserve"> </w:t>
      </w:r>
      <w:r w:rsidR="00E23FEB">
        <w:rPr>
          <w:rFonts w:ascii="Verdana" w:hAnsi="Verdana"/>
          <w:sz w:val="20"/>
          <w:szCs w:val="20"/>
        </w:rPr>
        <w:t>3</w:t>
      </w:r>
      <w:r w:rsidR="00462286">
        <w:rPr>
          <w:rFonts w:ascii="Verdana" w:hAnsi="Verdana"/>
          <w:sz w:val="20"/>
          <w:szCs w:val="20"/>
        </w:rPr>
        <w:t>0</w:t>
      </w:r>
      <w:r w:rsidR="009D022F">
        <w:rPr>
          <w:rFonts w:ascii="Verdana" w:hAnsi="Verdana"/>
          <w:sz w:val="20"/>
          <w:szCs w:val="20"/>
        </w:rPr>
        <w:t xml:space="preserve"> % pour les exploitations spécialisées en production de viande bovine. </w:t>
      </w:r>
      <w:r w:rsidR="00A77007">
        <w:rPr>
          <w:rFonts w:ascii="Verdana" w:hAnsi="Verdana"/>
          <w:sz w:val="20"/>
          <w:szCs w:val="20"/>
        </w:rPr>
        <w:t xml:space="preserve">Il va de soi que le poids des aides et </w:t>
      </w:r>
      <w:r w:rsidR="00E23FEB">
        <w:rPr>
          <w:rFonts w:ascii="Verdana" w:hAnsi="Verdana"/>
          <w:sz w:val="20"/>
          <w:szCs w:val="20"/>
        </w:rPr>
        <w:t xml:space="preserve">autres </w:t>
      </w:r>
      <w:r w:rsidR="00A77007">
        <w:rPr>
          <w:rFonts w:ascii="Verdana" w:hAnsi="Verdana"/>
          <w:sz w:val="20"/>
          <w:szCs w:val="20"/>
        </w:rPr>
        <w:t>indemnités dans le RT est encore bien plus important.</w:t>
      </w:r>
    </w:p>
    <w:p w:rsidR="00A77007" w:rsidRPr="00A77007" w:rsidRDefault="00A77007" w:rsidP="00A77007">
      <w:pPr>
        <w:pStyle w:val="Paragraphedeliste"/>
        <w:numPr>
          <w:ilvl w:val="0"/>
          <w:numId w:val="6"/>
        </w:numPr>
        <w:jc w:val="both"/>
        <w:rPr>
          <w:rFonts w:ascii="Verdana" w:hAnsi="Verdana"/>
          <w:sz w:val="20"/>
          <w:szCs w:val="20"/>
          <w:u w:val="single"/>
        </w:rPr>
      </w:pPr>
      <w:r w:rsidRPr="00A77007">
        <w:rPr>
          <w:rFonts w:ascii="Verdana" w:hAnsi="Verdana"/>
          <w:sz w:val="20"/>
          <w:szCs w:val="20"/>
          <w:u w:val="single"/>
        </w:rPr>
        <w:t>Le</w:t>
      </w:r>
      <w:r w:rsidR="005A5448">
        <w:rPr>
          <w:rFonts w:ascii="Verdana" w:hAnsi="Verdana"/>
          <w:sz w:val="20"/>
          <w:szCs w:val="20"/>
          <w:u w:val="single"/>
        </w:rPr>
        <w:t>s</w:t>
      </w:r>
      <w:r w:rsidRPr="00A77007">
        <w:rPr>
          <w:rFonts w:ascii="Verdana" w:hAnsi="Verdana"/>
          <w:sz w:val="20"/>
          <w:szCs w:val="20"/>
          <w:u w:val="single"/>
        </w:rPr>
        <w:t xml:space="preserve"> </w:t>
      </w:r>
      <w:r w:rsidR="005A5448">
        <w:rPr>
          <w:rFonts w:ascii="Verdana" w:hAnsi="Verdana"/>
          <w:sz w:val="20"/>
          <w:szCs w:val="20"/>
          <w:u w:val="single"/>
        </w:rPr>
        <w:t>Marges brutes</w:t>
      </w:r>
    </w:p>
    <w:p w:rsidR="00A77007" w:rsidRPr="00C56145" w:rsidRDefault="0076254E" w:rsidP="004C5D97">
      <w:pPr>
        <w:jc w:val="both"/>
        <w:rPr>
          <w:rFonts w:ascii="Verdana" w:hAnsi="Verdana"/>
          <w:sz w:val="20"/>
          <w:szCs w:val="20"/>
          <w:u w:val="dotted"/>
        </w:rPr>
      </w:pPr>
      <w:r w:rsidRPr="00C56145">
        <w:rPr>
          <w:rFonts w:ascii="Verdana" w:hAnsi="Verdana"/>
          <w:sz w:val="20"/>
          <w:szCs w:val="20"/>
        </w:rPr>
        <w:t xml:space="preserve">D 1) </w:t>
      </w:r>
      <w:r w:rsidRPr="00C56145">
        <w:rPr>
          <w:rFonts w:ascii="Verdana" w:hAnsi="Verdana"/>
          <w:sz w:val="20"/>
          <w:szCs w:val="20"/>
          <w:u w:val="dotted"/>
        </w:rPr>
        <w:t>en Grandes cultures</w:t>
      </w:r>
    </w:p>
    <w:tbl>
      <w:tblPr>
        <w:tblW w:w="5055" w:type="pct"/>
        <w:tblCellMar>
          <w:left w:w="70" w:type="dxa"/>
          <w:right w:w="70" w:type="dxa"/>
        </w:tblCellMar>
        <w:tblLook w:val="04A0"/>
      </w:tblPr>
      <w:tblGrid>
        <w:gridCol w:w="2726"/>
        <w:gridCol w:w="606"/>
        <w:gridCol w:w="606"/>
        <w:gridCol w:w="606"/>
        <w:gridCol w:w="606"/>
        <w:gridCol w:w="606"/>
        <w:gridCol w:w="606"/>
        <w:gridCol w:w="606"/>
        <w:gridCol w:w="606"/>
        <w:gridCol w:w="735"/>
        <w:gridCol w:w="1004"/>
      </w:tblGrid>
      <w:tr w:rsidR="008066E2" w:rsidRPr="008066E2" w:rsidTr="00D75A69">
        <w:trPr>
          <w:trHeight w:val="480"/>
        </w:trPr>
        <w:tc>
          <w:tcPr>
            <w:tcW w:w="1456" w:type="pct"/>
            <w:tcBorders>
              <w:top w:val="nil"/>
              <w:left w:val="double" w:sz="6" w:space="0" w:color="auto"/>
              <w:bottom w:val="double" w:sz="6" w:space="0" w:color="auto"/>
              <w:right w:val="single" w:sz="8" w:space="0" w:color="auto"/>
            </w:tcBorders>
            <w:shd w:val="clear" w:color="000000" w:fill="808080"/>
            <w:noWrap/>
            <w:vAlign w:val="center"/>
            <w:hideMark/>
          </w:tcPr>
          <w:p w:rsidR="008066E2" w:rsidRPr="008066E2" w:rsidRDefault="008066E2" w:rsidP="008066E2">
            <w:pPr>
              <w:spacing w:after="0" w:line="240" w:lineRule="auto"/>
              <w:jc w:val="center"/>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Froment</w:t>
            </w:r>
          </w:p>
        </w:tc>
        <w:tc>
          <w:tcPr>
            <w:tcW w:w="324" w:type="pct"/>
            <w:tcBorders>
              <w:top w:val="double" w:sz="6" w:space="0" w:color="auto"/>
              <w:left w:val="nil"/>
              <w:bottom w:val="double" w:sz="6"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2010</w:t>
            </w:r>
          </w:p>
        </w:tc>
        <w:tc>
          <w:tcPr>
            <w:tcW w:w="324" w:type="pct"/>
            <w:tcBorders>
              <w:top w:val="double" w:sz="6" w:space="0" w:color="auto"/>
              <w:left w:val="nil"/>
              <w:bottom w:val="double" w:sz="6" w:space="0" w:color="auto"/>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2011</w:t>
            </w:r>
          </w:p>
        </w:tc>
        <w:tc>
          <w:tcPr>
            <w:tcW w:w="324" w:type="pct"/>
            <w:tcBorders>
              <w:top w:val="double" w:sz="6" w:space="0" w:color="auto"/>
              <w:bottom w:val="double" w:sz="6"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2012</w:t>
            </w:r>
          </w:p>
        </w:tc>
        <w:tc>
          <w:tcPr>
            <w:tcW w:w="324" w:type="pct"/>
            <w:tcBorders>
              <w:top w:val="double" w:sz="6" w:space="0" w:color="auto"/>
              <w:left w:val="nil"/>
              <w:bottom w:val="double" w:sz="6"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2013</w:t>
            </w:r>
          </w:p>
        </w:tc>
        <w:tc>
          <w:tcPr>
            <w:tcW w:w="324" w:type="pct"/>
            <w:tcBorders>
              <w:top w:val="double" w:sz="6" w:space="0" w:color="auto"/>
              <w:left w:val="nil"/>
              <w:bottom w:val="double" w:sz="6"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2014</w:t>
            </w:r>
          </w:p>
        </w:tc>
        <w:tc>
          <w:tcPr>
            <w:tcW w:w="324" w:type="pct"/>
            <w:tcBorders>
              <w:top w:val="double" w:sz="6" w:space="0" w:color="auto"/>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2015</w:t>
            </w:r>
          </w:p>
        </w:tc>
        <w:tc>
          <w:tcPr>
            <w:tcW w:w="324" w:type="pct"/>
            <w:tcBorders>
              <w:top w:val="double" w:sz="6" w:space="0" w:color="auto"/>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2016</w:t>
            </w:r>
          </w:p>
        </w:tc>
        <w:tc>
          <w:tcPr>
            <w:tcW w:w="324" w:type="pct"/>
            <w:tcBorders>
              <w:top w:val="double" w:sz="6" w:space="0" w:color="auto"/>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2017</w:t>
            </w:r>
          </w:p>
        </w:tc>
        <w:tc>
          <w:tcPr>
            <w:tcW w:w="404" w:type="pct"/>
            <w:tcBorders>
              <w:top w:val="double" w:sz="6" w:space="0" w:color="auto"/>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2018</w:t>
            </w:r>
          </w:p>
        </w:tc>
        <w:tc>
          <w:tcPr>
            <w:tcW w:w="549" w:type="pct"/>
            <w:tcBorders>
              <w:top w:val="double" w:sz="6" w:space="0" w:color="auto"/>
              <w:left w:val="nil"/>
              <w:bottom w:val="double" w:sz="6" w:space="0" w:color="auto"/>
              <w:right w:val="double" w:sz="6" w:space="0" w:color="auto"/>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D75A69">
              <w:rPr>
                <w:rFonts w:ascii="Verdana" w:eastAsia="Times New Roman" w:hAnsi="Verdana" w:cs="Calibri"/>
                <w:color w:val="FFFFFF"/>
                <w:sz w:val="14"/>
                <w:szCs w:val="14"/>
                <w:lang w:eastAsia="fr-BE"/>
              </w:rPr>
              <w:t>2017/2018</w:t>
            </w:r>
            <w:r w:rsidRPr="008066E2">
              <w:rPr>
                <w:rFonts w:ascii="Verdana" w:eastAsia="Times New Roman" w:hAnsi="Verdana" w:cs="Calibri"/>
                <w:color w:val="FFFFFF"/>
                <w:sz w:val="16"/>
                <w:szCs w:val="16"/>
                <w:lang w:eastAsia="fr-BE"/>
              </w:rPr>
              <w:t xml:space="preserve"> (%)</w:t>
            </w:r>
          </w:p>
        </w:tc>
      </w:tr>
      <w:tr w:rsidR="008066E2" w:rsidRPr="008066E2" w:rsidTr="00D75A69">
        <w:trPr>
          <w:trHeight w:val="315"/>
        </w:trPr>
        <w:tc>
          <w:tcPr>
            <w:tcW w:w="1456"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Rendement (</w:t>
            </w:r>
            <w:proofErr w:type="spellStart"/>
            <w:r w:rsidRPr="008066E2">
              <w:rPr>
                <w:rFonts w:ascii="Verdana" w:eastAsia="Times New Roman" w:hAnsi="Verdana" w:cs="Calibri"/>
                <w:color w:val="000000"/>
                <w:sz w:val="16"/>
                <w:szCs w:val="16"/>
                <w:lang w:eastAsia="fr-BE"/>
              </w:rPr>
              <w:t>Qx</w:t>
            </w:r>
            <w:proofErr w:type="spellEnd"/>
            <w:r w:rsidRPr="008066E2">
              <w:rPr>
                <w:rFonts w:ascii="Verdana" w:eastAsia="Times New Roman" w:hAnsi="Verdana" w:cs="Calibri"/>
                <w:color w:val="000000"/>
                <w:sz w:val="16"/>
                <w:szCs w:val="16"/>
                <w:lang w:eastAsia="fr-BE"/>
              </w:rPr>
              <w:t>/ha)</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84,49</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83,71</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81,42</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90,6</w:t>
            </w:r>
            <w:r w:rsidR="007C523F">
              <w:rPr>
                <w:rFonts w:ascii="Verdana" w:eastAsia="Times New Roman" w:hAnsi="Verdana" w:cs="Calibri"/>
                <w:color w:val="000000"/>
                <w:sz w:val="16"/>
                <w:szCs w:val="16"/>
                <w:lang w:eastAsia="fr-BE"/>
              </w:rPr>
              <w:t>0</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94,09</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97,31</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66,24</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88,75</w:t>
            </w:r>
          </w:p>
        </w:tc>
        <w:tc>
          <w:tcPr>
            <w:tcW w:w="40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89,5</w:t>
            </w:r>
          </w:p>
        </w:tc>
        <w:tc>
          <w:tcPr>
            <w:tcW w:w="549"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1%</w:t>
            </w:r>
          </w:p>
        </w:tc>
      </w:tr>
      <w:tr w:rsidR="008066E2" w:rsidRPr="008066E2" w:rsidTr="00D75A69">
        <w:trPr>
          <w:trHeight w:val="300"/>
        </w:trPr>
        <w:tc>
          <w:tcPr>
            <w:tcW w:w="1456"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Prix moyen (€/100 Kg)</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19,97</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19,3</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23,07</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18,54</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15,49</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14,54</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15,11</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15,04</w:t>
            </w:r>
          </w:p>
        </w:tc>
        <w:tc>
          <w:tcPr>
            <w:tcW w:w="40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18,29</w:t>
            </w:r>
          </w:p>
        </w:tc>
        <w:tc>
          <w:tcPr>
            <w:tcW w:w="549"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22%</w:t>
            </w:r>
          </w:p>
        </w:tc>
      </w:tr>
      <w:tr w:rsidR="008066E2" w:rsidRPr="008066E2" w:rsidTr="00D75A69">
        <w:trPr>
          <w:trHeight w:val="300"/>
        </w:trPr>
        <w:tc>
          <w:tcPr>
            <w:tcW w:w="1456"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Total des produits (€/ha)</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1.696</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1.616</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1.879</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1.680</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1.457</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1.415</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1.001</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1.335</w:t>
            </w:r>
          </w:p>
        </w:tc>
        <w:tc>
          <w:tcPr>
            <w:tcW w:w="40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1.637</w:t>
            </w:r>
          </w:p>
        </w:tc>
        <w:tc>
          <w:tcPr>
            <w:tcW w:w="549"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23%</w:t>
            </w:r>
          </w:p>
        </w:tc>
      </w:tr>
      <w:tr w:rsidR="008066E2" w:rsidRPr="008066E2" w:rsidTr="00D75A69">
        <w:trPr>
          <w:trHeight w:val="300"/>
        </w:trPr>
        <w:tc>
          <w:tcPr>
            <w:tcW w:w="1456"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Avec travaux par tiers</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40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549"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 </w:t>
            </w:r>
          </w:p>
        </w:tc>
      </w:tr>
      <w:tr w:rsidR="008066E2" w:rsidRPr="008066E2" w:rsidTr="00D75A69">
        <w:trPr>
          <w:trHeight w:val="300"/>
        </w:trPr>
        <w:tc>
          <w:tcPr>
            <w:tcW w:w="1456"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Pr>
                <w:rFonts w:ascii="Verdana" w:eastAsia="Times New Roman" w:hAnsi="Verdana" w:cs="Calibri"/>
                <w:color w:val="000000"/>
                <w:sz w:val="16"/>
                <w:szCs w:val="16"/>
                <w:lang w:eastAsia="fr-BE"/>
              </w:rPr>
              <w:t xml:space="preserve">        </w:t>
            </w:r>
            <w:r w:rsidRPr="008066E2">
              <w:rPr>
                <w:rFonts w:ascii="Verdana" w:eastAsia="Times New Roman" w:hAnsi="Verdana" w:cs="Calibri"/>
                <w:color w:val="000000"/>
                <w:sz w:val="16"/>
                <w:szCs w:val="16"/>
                <w:lang w:eastAsia="fr-BE"/>
              </w:rPr>
              <w:t>- Charges variables (€/ha)</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515</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619</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636</w:t>
            </w:r>
          </w:p>
        </w:tc>
        <w:tc>
          <w:tcPr>
            <w:tcW w:w="324"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667</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676</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655</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580</w:t>
            </w:r>
          </w:p>
        </w:tc>
        <w:tc>
          <w:tcPr>
            <w:tcW w:w="32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595</w:t>
            </w:r>
          </w:p>
        </w:tc>
        <w:tc>
          <w:tcPr>
            <w:tcW w:w="404"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571</w:t>
            </w:r>
          </w:p>
        </w:tc>
        <w:tc>
          <w:tcPr>
            <w:tcW w:w="549"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-4%</w:t>
            </w:r>
          </w:p>
        </w:tc>
      </w:tr>
      <w:tr w:rsidR="008066E2" w:rsidRPr="008066E2" w:rsidTr="00D75A69">
        <w:trPr>
          <w:trHeight w:val="315"/>
        </w:trPr>
        <w:tc>
          <w:tcPr>
            <w:tcW w:w="1456" w:type="pct"/>
            <w:tcBorders>
              <w:top w:val="nil"/>
              <w:left w:val="double" w:sz="6" w:space="0" w:color="auto"/>
              <w:bottom w:val="double" w:sz="6" w:space="0" w:color="auto"/>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Pr>
                <w:rFonts w:ascii="Verdana" w:eastAsia="Times New Roman" w:hAnsi="Verdana" w:cs="Calibri"/>
                <w:color w:val="000000"/>
                <w:sz w:val="16"/>
                <w:szCs w:val="16"/>
                <w:lang w:eastAsia="fr-BE"/>
              </w:rPr>
              <w:t xml:space="preserve">        </w:t>
            </w:r>
            <w:r w:rsidRPr="008066E2">
              <w:rPr>
                <w:rFonts w:ascii="Verdana" w:eastAsia="Times New Roman" w:hAnsi="Verdana" w:cs="Calibri"/>
                <w:color w:val="000000"/>
                <w:sz w:val="16"/>
                <w:szCs w:val="16"/>
                <w:lang w:eastAsia="fr-BE"/>
              </w:rPr>
              <w:t>- Marge brute (€/ha)</w:t>
            </w:r>
          </w:p>
        </w:tc>
        <w:tc>
          <w:tcPr>
            <w:tcW w:w="324"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1181</w:t>
            </w:r>
          </w:p>
        </w:tc>
        <w:tc>
          <w:tcPr>
            <w:tcW w:w="324"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997</w:t>
            </w:r>
          </w:p>
        </w:tc>
        <w:tc>
          <w:tcPr>
            <w:tcW w:w="324"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1242</w:t>
            </w:r>
          </w:p>
        </w:tc>
        <w:tc>
          <w:tcPr>
            <w:tcW w:w="324"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1.013</w:t>
            </w:r>
          </w:p>
        </w:tc>
        <w:tc>
          <w:tcPr>
            <w:tcW w:w="324"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781</w:t>
            </w:r>
          </w:p>
        </w:tc>
        <w:tc>
          <w:tcPr>
            <w:tcW w:w="324"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760</w:t>
            </w:r>
          </w:p>
        </w:tc>
        <w:tc>
          <w:tcPr>
            <w:tcW w:w="324" w:type="pct"/>
            <w:tcBorders>
              <w:top w:val="nil"/>
              <w:left w:val="nil"/>
              <w:bottom w:val="double" w:sz="6" w:space="0" w:color="auto"/>
              <w:right w:val="nil"/>
            </w:tcBorders>
            <w:shd w:val="clear" w:color="auto" w:fill="auto"/>
            <w:vAlign w:val="bottom"/>
            <w:hideMark/>
          </w:tcPr>
          <w:p w:rsidR="008066E2" w:rsidRPr="001118B9" w:rsidRDefault="008066E2" w:rsidP="008066E2">
            <w:pPr>
              <w:spacing w:after="0" w:line="240" w:lineRule="auto"/>
              <w:jc w:val="right"/>
              <w:rPr>
                <w:rFonts w:ascii="Verdana" w:eastAsia="Times New Roman" w:hAnsi="Verdana" w:cs="Calibri"/>
                <w:b/>
                <w:color w:val="FF0000"/>
                <w:sz w:val="16"/>
                <w:szCs w:val="16"/>
                <w:lang w:eastAsia="fr-BE"/>
              </w:rPr>
            </w:pPr>
            <w:r w:rsidRPr="001118B9">
              <w:rPr>
                <w:rFonts w:ascii="Verdana" w:eastAsia="Times New Roman" w:hAnsi="Verdana" w:cs="Calibri"/>
                <w:b/>
                <w:color w:val="FF0000"/>
                <w:sz w:val="16"/>
                <w:szCs w:val="16"/>
                <w:lang w:eastAsia="fr-BE"/>
              </w:rPr>
              <w:t>421</w:t>
            </w:r>
          </w:p>
        </w:tc>
        <w:tc>
          <w:tcPr>
            <w:tcW w:w="324"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739</w:t>
            </w:r>
          </w:p>
        </w:tc>
        <w:tc>
          <w:tcPr>
            <w:tcW w:w="404" w:type="pct"/>
            <w:tcBorders>
              <w:top w:val="nil"/>
              <w:left w:val="nil"/>
              <w:bottom w:val="double" w:sz="6" w:space="0" w:color="auto"/>
              <w:right w:val="nil"/>
            </w:tcBorders>
            <w:shd w:val="clear" w:color="auto" w:fill="auto"/>
            <w:vAlign w:val="bottom"/>
            <w:hideMark/>
          </w:tcPr>
          <w:p w:rsidR="008066E2" w:rsidRPr="007C523F" w:rsidRDefault="008066E2" w:rsidP="008066E2">
            <w:pPr>
              <w:spacing w:after="0" w:line="240" w:lineRule="auto"/>
              <w:jc w:val="right"/>
              <w:rPr>
                <w:rFonts w:ascii="Verdana" w:eastAsia="Times New Roman" w:hAnsi="Verdana" w:cs="Calibri"/>
                <w:b/>
                <w:i/>
                <w:iCs/>
                <w:color w:val="00B050"/>
                <w:sz w:val="16"/>
                <w:szCs w:val="16"/>
                <w:lang w:eastAsia="fr-BE"/>
              </w:rPr>
            </w:pPr>
            <w:r w:rsidRPr="007C523F">
              <w:rPr>
                <w:rFonts w:ascii="Verdana" w:eastAsia="Times New Roman" w:hAnsi="Verdana" w:cs="Calibri"/>
                <w:b/>
                <w:i/>
                <w:iCs/>
                <w:color w:val="00B050"/>
                <w:sz w:val="16"/>
                <w:szCs w:val="16"/>
                <w:lang w:eastAsia="fr-BE"/>
              </w:rPr>
              <w:t>1.066</w:t>
            </w:r>
          </w:p>
        </w:tc>
        <w:tc>
          <w:tcPr>
            <w:tcW w:w="549" w:type="pct"/>
            <w:tcBorders>
              <w:top w:val="nil"/>
              <w:left w:val="nil"/>
              <w:bottom w:val="double" w:sz="6" w:space="0" w:color="auto"/>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sz w:val="16"/>
                <w:szCs w:val="16"/>
                <w:lang w:eastAsia="fr-BE"/>
              </w:rPr>
            </w:pPr>
            <w:r w:rsidRPr="008066E2">
              <w:rPr>
                <w:rFonts w:ascii="Verdana" w:eastAsia="Times New Roman" w:hAnsi="Verdana" w:cs="Calibri"/>
                <w:sz w:val="16"/>
                <w:szCs w:val="16"/>
                <w:lang w:eastAsia="fr-BE"/>
              </w:rPr>
              <w:t>44%</w:t>
            </w:r>
          </w:p>
        </w:tc>
      </w:tr>
    </w:tbl>
    <w:p w:rsidR="005E244B" w:rsidRDefault="0064064F" w:rsidP="00462286">
      <w:pPr>
        <w:spacing w:before="120"/>
        <w:jc w:val="both"/>
        <w:rPr>
          <w:rFonts w:ascii="Verdana" w:hAnsi="Verdana"/>
          <w:sz w:val="20"/>
          <w:szCs w:val="20"/>
        </w:rPr>
      </w:pPr>
      <w:r w:rsidRPr="0064064F">
        <w:rPr>
          <w:rFonts w:ascii="Verdana" w:hAnsi="Verdana"/>
          <w:sz w:val="20"/>
          <w:szCs w:val="20"/>
        </w:rPr>
        <w:t xml:space="preserve">Le </w:t>
      </w:r>
      <w:r>
        <w:rPr>
          <w:rFonts w:ascii="Verdana" w:hAnsi="Verdana"/>
          <w:sz w:val="20"/>
          <w:szCs w:val="20"/>
        </w:rPr>
        <w:t>tableau ci-dessus met en évidence</w:t>
      </w:r>
      <w:r w:rsidRPr="0064064F">
        <w:rPr>
          <w:rFonts w:ascii="Verdana" w:hAnsi="Verdana"/>
          <w:sz w:val="20"/>
          <w:szCs w:val="20"/>
        </w:rPr>
        <w:t xml:space="preserve"> l</w:t>
      </w:r>
      <w:r w:rsidR="006C439A">
        <w:rPr>
          <w:rFonts w:ascii="Verdana" w:hAnsi="Verdana"/>
          <w:sz w:val="20"/>
          <w:szCs w:val="20"/>
        </w:rPr>
        <w:t>e</w:t>
      </w:r>
      <w:r w:rsidRPr="0064064F">
        <w:rPr>
          <w:rFonts w:ascii="Verdana" w:hAnsi="Verdana"/>
          <w:sz w:val="20"/>
          <w:szCs w:val="20"/>
        </w:rPr>
        <w:t xml:space="preserve"> </w:t>
      </w:r>
      <w:r w:rsidR="006C439A">
        <w:rPr>
          <w:rFonts w:ascii="Verdana" w:hAnsi="Verdana"/>
          <w:sz w:val="20"/>
          <w:szCs w:val="20"/>
        </w:rPr>
        <w:t xml:space="preserve">très mauvais niveau </w:t>
      </w:r>
      <w:r w:rsidRPr="0064064F">
        <w:rPr>
          <w:rFonts w:ascii="Verdana" w:hAnsi="Verdana"/>
          <w:sz w:val="20"/>
          <w:szCs w:val="20"/>
        </w:rPr>
        <w:t>de l’année 2016</w:t>
      </w:r>
      <w:r>
        <w:rPr>
          <w:rFonts w:ascii="Verdana" w:hAnsi="Verdana"/>
          <w:sz w:val="20"/>
          <w:szCs w:val="20"/>
        </w:rPr>
        <w:t xml:space="preserve"> en ce qui concerne la culture du froment</w:t>
      </w:r>
      <w:r w:rsidR="00CB3414">
        <w:rPr>
          <w:rFonts w:ascii="Verdana" w:hAnsi="Verdana"/>
          <w:sz w:val="20"/>
          <w:szCs w:val="20"/>
        </w:rPr>
        <w:t xml:space="preserve"> ainsi que les résultats prometteurs pour l’année 2018. Le prix reçu n’atteint </w:t>
      </w:r>
      <w:r w:rsidR="001118B9">
        <w:rPr>
          <w:rFonts w:ascii="Verdana" w:hAnsi="Verdana"/>
          <w:sz w:val="20"/>
          <w:szCs w:val="20"/>
        </w:rPr>
        <w:t xml:space="preserve">certes </w:t>
      </w:r>
      <w:r w:rsidR="00CB3414">
        <w:rPr>
          <w:rFonts w:ascii="Verdana" w:hAnsi="Verdana"/>
          <w:sz w:val="20"/>
          <w:szCs w:val="20"/>
        </w:rPr>
        <w:t>pas le niveau de 2012, année faste pour le froment</w:t>
      </w:r>
      <w:r w:rsidR="00462286">
        <w:rPr>
          <w:rFonts w:ascii="Verdana" w:hAnsi="Verdana"/>
          <w:sz w:val="20"/>
          <w:szCs w:val="20"/>
        </w:rPr>
        <w:t>,</w:t>
      </w:r>
      <w:r w:rsidR="00CB3414">
        <w:rPr>
          <w:rFonts w:ascii="Verdana" w:hAnsi="Verdana"/>
          <w:sz w:val="20"/>
          <w:szCs w:val="20"/>
        </w:rPr>
        <w:t xml:space="preserve"> mais s’approche </w:t>
      </w:r>
      <w:r w:rsidR="008066E2">
        <w:rPr>
          <w:rFonts w:ascii="Verdana" w:hAnsi="Verdana"/>
          <w:sz w:val="20"/>
          <w:szCs w:val="20"/>
        </w:rPr>
        <w:t>des prix de début de décennie</w:t>
      </w:r>
      <w:r w:rsidR="00CB3414">
        <w:rPr>
          <w:rFonts w:ascii="Verdana" w:hAnsi="Verdana"/>
          <w:sz w:val="20"/>
          <w:szCs w:val="20"/>
        </w:rPr>
        <w:t>.</w:t>
      </w:r>
      <w:r>
        <w:rPr>
          <w:rFonts w:ascii="Verdana" w:hAnsi="Verdana"/>
          <w:sz w:val="20"/>
          <w:szCs w:val="20"/>
        </w:rPr>
        <w:t xml:space="preserve"> </w:t>
      </w:r>
      <w:r w:rsidR="001118B9">
        <w:rPr>
          <w:rFonts w:ascii="Verdana" w:hAnsi="Verdana"/>
          <w:sz w:val="20"/>
          <w:szCs w:val="20"/>
        </w:rPr>
        <w:t>En ce qui concerne l</w:t>
      </w:r>
      <w:r w:rsidR="005817FE">
        <w:rPr>
          <w:rFonts w:ascii="Verdana" w:hAnsi="Verdana"/>
          <w:sz w:val="20"/>
          <w:szCs w:val="20"/>
        </w:rPr>
        <w:t xml:space="preserve">es charges, </w:t>
      </w:r>
      <w:r w:rsidR="00D0675C">
        <w:rPr>
          <w:rFonts w:ascii="Verdana" w:hAnsi="Verdana"/>
          <w:sz w:val="20"/>
          <w:szCs w:val="20"/>
        </w:rPr>
        <w:t xml:space="preserve">le climat relativement sec a permis une utilisation faible de fongicides, </w:t>
      </w:r>
      <w:r w:rsidR="001118B9">
        <w:rPr>
          <w:rFonts w:ascii="Verdana" w:hAnsi="Verdana"/>
          <w:sz w:val="20"/>
          <w:szCs w:val="20"/>
        </w:rPr>
        <w:t xml:space="preserve">ce qui </w:t>
      </w:r>
      <w:r w:rsidR="00D0675C">
        <w:rPr>
          <w:rFonts w:ascii="Verdana" w:hAnsi="Verdana"/>
          <w:sz w:val="20"/>
          <w:szCs w:val="20"/>
        </w:rPr>
        <w:t>situ</w:t>
      </w:r>
      <w:r w:rsidR="001118B9">
        <w:rPr>
          <w:rFonts w:ascii="Verdana" w:hAnsi="Verdana"/>
          <w:sz w:val="20"/>
          <w:szCs w:val="20"/>
        </w:rPr>
        <w:t>e</w:t>
      </w:r>
      <w:r w:rsidR="00285A5A">
        <w:rPr>
          <w:rFonts w:ascii="Verdana" w:hAnsi="Verdana"/>
          <w:sz w:val="20"/>
          <w:szCs w:val="20"/>
        </w:rPr>
        <w:t>rait</w:t>
      </w:r>
      <w:r w:rsidR="00D0675C">
        <w:rPr>
          <w:rFonts w:ascii="Verdana" w:hAnsi="Verdana"/>
          <w:sz w:val="20"/>
          <w:szCs w:val="20"/>
        </w:rPr>
        <w:t xml:space="preserve"> 2018 </w:t>
      </w:r>
      <w:r w:rsidR="001118B9">
        <w:rPr>
          <w:rFonts w:ascii="Verdana" w:hAnsi="Verdana"/>
          <w:sz w:val="20"/>
          <w:szCs w:val="20"/>
        </w:rPr>
        <w:t>parmi les trois meilleures années de la décennie</w:t>
      </w:r>
      <w:r w:rsidR="009C7445">
        <w:rPr>
          <w:rFonts w:ascii="Verdana" w:hAnsi="Verdana"/>
          <w:sz w:val="20"/>
          <w:szCs w:val="20"/>
        </w:rPr>
        <w:t xml:space="preserve">. </w:t>
      </w:r>
    </w:p>
    <w:tbl>
      <w:tblPr>
        <w:tblW w:w="5000" w:type="pct"/>
        <w:tblCellMar>
          <w:left w:w="70" w:type="dxa"/>
          <w:right w:w="70" w:type="dxa"/>
        </w:tblCellMar>
        <w:tblLook w:val="04A0"/>
      </w:tblPr>
      <w:tblGrid>
        <w:gridCol w:w="2670"/>
        <w:gridCol w:w="609"/>
        <w:gridCol w:w="610"/>
        <w:gridCol w:w="610"/>
        <w:gridCol w:w="610"/>
        <w:gridCol w:w="610"/>
        <w:gridCol w:w="610"/>
        <w:gridCol w:w="610"/>
        <w:gridCol w:w="610"/>
        <w:gridCol w:w="610"/>
        <w:gridCol w:w="1053"/>
      </w:tblGrid>
      <w:tr w:rsidR="008066E2" w:rsidRPr="008066E2" w:rsidTr="007C523F">
        <w:trPr>
          <w:cantSplit/>
          <w:trHeight w:val="315"/>
        </w:trPr>
        <w:tc>
          <w:tcPr>
            <w:tcW w:w="1300" w:type="pct"/>
            <w:vMerge w:val="restart"/>
            <w:tcBorders>
              <w:top w:val="double" w:sz="6" w:space="0" w:color="auto"/>
              <w:left w:val="double" w:sz="6" w:space="0" w:color="auto"/>
              <w:bottom w:val="double" w:sz="6" w:space="0" w:color="000000"/>
              <w:right w:val="single" w:sz="8" w:space="0" w:color="auto"/>
            </w:tcBorders>
            <w:shd w:val="clear" w:color="000000" w:fill="808080"/>
            <w:noWrap/>
            <w:vAlign w:val="center"/>
            <w:hideMark/>
          </w:tcPr>
          <w:p w:rsidR="008066E2" w:rsidRPr="008066E2" w:rsidRDefault="008066E2" w:rsidP="008066E2">
            <w:pPr>
              <w:spacing w:after="0" w:line="240" w:lineRule="auto"/>
              <w:jc w:val="center"/>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Betteraves sucrières</w:t>
            </w:r>
          </w:p>
        </w:tc>
        <w:tc>
          <w:tcPr>
            <w:tcW w:w="346" w:type="pct"/>
            <w:vMerge w:val="restart"/>
            <w:tcBorders>
              <w:top w:val="double" w:sz="6" w:space="0" w:color="auto"/>
              <w:left w:val="single" w:sz="8"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2010</w:t>
            </w:r>
          </w:p>
        </w:tc>
        <w:tc>
          <w:tcPr>
            <w:tcW w:w="346" w:type="pct"/>
            <w:vMerge w:val="restart"/>
            <w:tcBorders>
              <w:top w:val="double" w:sz="6" w:space="0" w:color="auto"/>
              <w:lef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2011</w:t>
            </w:r>
          </w:p>
        </w:tc>
        <w:tc>
          <w:tcPr>
            <w:tcW w:w="346" w:type="pct"/>
            <w:vMerge w:val="restart"/>
            <w:tcBorders>
              <w:top w:val="double" w:sz="6" w:space="0" w:color="auto"/>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2012</w:t>
            </w:r>
          </w:p>
        </w:tc>
        <w:tc>
          <w:tcPr>
            <w:tcW w:w="346" w:type="pct"/>
            <w:vMerge w:val="restart"/>
            <w:tcBorders>
              <w:top w:val="double" w:sz="6" w:space="0" w:color="auto"/>
              <w:left w:val="nil"/>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2013</w:t>
            </w:r>
          </w:p>
        </w:tc>
        <w:tc>
          <w:tcPr>
            <w:tcW w:w="346" w:type="pct"/>
            <w:vMerge w:val="restart"/>
            <w:tcBorders>
              <w:top w:val="double" w:sz="6" w:space="0" w:color="auto"/>
              <w:left w:val="nil"/>
              <w:right w:val="nil"/>
            </w:tcBorders>
            <w:shd w:val="clear" w:color="000000" w:fill="808080"/>
            <w:noWrap/>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2014</w:t>
            </w:r>
          </w:p>
        </w:tc>
        <w:tc>
          <w:tcPr>
            <w:tcW w:w="346" w:type="pct"/>
            <w:vMerge w:val="restart"/>
            <w:tcBorders>
              <w:top w:val="double" w:sz="6" w:space="0" w:color="auto"/>
              <w:left w:val="nil"/>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2015</w:t>
            </w:r>
          </w:p>
        </w:tc>
        <w:tc>
          <w:tcPr>
            <w:tcW w:w="346" w:type="pct"/>
            <w:vMerge w:val="restart"/>
            <w:tcBorders>
              <w:top w:val="double" w:sz="6" w:space="0" w:color="auto"/>
              <w:left w:val="nil"/>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2016</w:t>
            </w:r>
          </w:p>
        </w:tc>
        <w:tc>
          <w:tcPr>
            <w:tcW w:w="346" w:type="pct"/>
            <w:tcBorders>
              <w:top w:val="double" w:sz="6" w:space="0" w:color="auto"/>
              <w:left w:val="nil"/>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 </w:t>
            </w:r>
          </w:p>
        </w:tc>
        <w:tc>
          <w:tcPr>
            <w:tcW w:w="346" w:type="pct"/>
            <w:tcBorders>
              <w:top w:val="double" w:sz="6" w:space="0" w:color="auto"/>
              <w:left w:val="nil"/>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 </w:t>
            </w:r>
          </w:p>
        </w:tc>
        <w:tc>
          <w:tcPr>
            <w:tcW w:w="586" w:type="pct"/>
            <w:tcBorders>
              <w:top w:val="double" w:sz="6" w:space="0" w:color="auto"/>
              <w:left w:val="nil"/>
              <w:right w:val="double" w:sz="6" w:space="0" w:color="auto"/>
            </w:tcBorders>
            <w:shd w:val="clear" w:color="000000" w:fill="808080"/>
            <w:vAlign w:val="bottom"/>
            <w:hideMark/>
          </w:tcPr>
          <w:p w:rsidR="008066E2" w:rsidRPr="00D75A69" w:rsidRDefault="008066E2" w:rsidP="008066E2">
            <w:pPr>
              <w:spacing w:after="0" w:line="240" w:lineRule="auto"/>
              <w:jc w:val="right"/>
              <w:rPr>
                <w:rFonts w:ascii="Verdana" w:eastAsia="Times New Roman" w:hAnsi="Verdana" w:cs="Calibri"/>
                <w:color w:val="FFFFFF"/>
                <w:sz w:val="14"/>
                <w:szCs w:val="14"/>
                <w:lang w:eastAsia="fr-BE"/>
              </w:rPr>
            </w:pPr>
            <w:r w:rsidRPr="00D75A69">
              <w:rPr>
                <w:rFonts w:ascii="Verdana" w:eastAsia="Times New Roman" w:hAnsi="Verdana" w:cs="Calibri"/>
                <w:color w:val="FFFFFF"/>
                <w:sz w:val="14"/>
                <w:szCs w:val="14"/>
                <w:lang w:eastAsia="fr-BE"/>
              </w:rPr>
              <w:t>2017/2018</w:t>
            </w:r>
          </w:p>
        </w:tc>
      </w:tr>
      <w:tr w:rsidR="008066E2" w:rsidRPr="008066E2" w:rsidTr="007C523F">
        <w:trPr>
          <w:cantSplit/>
          <w:trHeight w:val="222"/>
        </w:trPr>
        <w:tc>
          <w:tcPr>
            <w:tcW w:w="1300" w:type="pct"/>
            <w:vMerge/>
            <w:tcBorders>
              <w:top w:val="double" w:sz="6" w:space="0" w:color="auto"/>
              <w:left w:val="double" w:sz="6" w:space="0" w:color="auto"/>
              <w:bottom w:val="double" w:sz="6" w:space="0" w:color="000000"/>
              <w:right w:val="single" w:sz="8" w:space="0" w:color="auto"/>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single" w:sz="8" w:space="0" w:color="auto"/>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nil"/>
              <w:bottom w:val="double" w:sz="6" w:space="0" w:color="auto"/>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nil"/>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nil"/>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nil"/>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vMerge/>
            <w:tcBorders>
              <w:left w:val="nil"/>
              <w:bottom w:val="double" w:sz="6" w:space="0" w:color="auto"/>
              <w:right w:val="nil"/>
            </w:tcBorders>
            <w:vAlign w:val="center"/>
            <w:hideMark/>
          </w:tcPr>
          <w:p w:rsidR="008066E2" w:rsidRPr="008066E2" w:rsidRDefault="008066E2" w:rsidP="008066E2">
            <w:pPr>
              <w:spacing w:after="0" w:line="240" w:lineRule="auto"/>
              <w:rPr>
                <w:rFonts w:ascii="Verdana" w:eastAsia="Times New Roman" w:hAnsi="Verdana" w:cs="Calibri"/>
                <w:color w:val="FFFFFF"/>
                <w:sz w:val="16"/>
                <w:szCs w:val="16"/>
                <w:lang w:eastAsia="fr-BE"/>
              </w:rPr>
            </w:pPr>
          </w:p>
        </w:tc>
        <w:tc>
          <w:tcPr>
            <w:tcW w:w="346" w:type="pct"/>
            <w:tcBorders>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i/>
                <w:iCs/>
                <w:color w:val="FFFFFF"/>
                <w:sz w:val="16"/>
                <w:szCs w:val="16"/>
                <w:lang w:eastAsia="fr-BE"/>
              </w:rPr>
            </w:pPr>
            <w:r w:rsidRPr="008066E2">
              <w:rPr>
                <w:rFonts w:ascii="Verdana" w:eastAsia="Times New Roman" w:hAnsi="Verdana" w:cs="Calibri"/>
                <w:i/>
                <w:iCs/>
                <w:color w:val="FFFFFF"/>
                <w:sz w:val="16"/>
                <w:szCs w:val="16"/>
                <w:lang w:eastAsia="fr-BE"/>
              </w:rPr>
              <w:t>2017</w:t>
            </w:r>
          </w:p>
        </w:tc>
        <w:tc>
          <w:tcPr>
            <w:tcW w:w="346" w:type="pct"/>
            <w:tcBorders>
              <w:left w:val="nil"/>
              <w:bottom w:val="double" w:sz="6" w:space="0" w:color="auto"/>
              <w:right w:val="nil"/>
            </w:tcBorders>
            <w:shd w:val="clear" w:color="000000" w:fill="808080"/>
            <w:vAlign w:val="bottom"/>
            <w:hideMark/>
          </w:tcPr>
          <w:p w:rsidR="008066E2" w:rsidRPr="008066E2" w:rsidRDefault="008066E2" w:rsidP="008066E2">
            <w:pPr>
              <w:spacing w:after="0" w:line="240" w:lineRule="auto"/>
              <w:jc w:val="right"/>
              <w:rPr>
                <w:rFonts w:ascii="Verdana" w:eastAsia="Times New Roman" w:hAnsi="Verdana" w:cs="Calibri"/>
                <w:i/>
                <w:iCs/>
                <w:color w:val="FFFFFF"/>
                <w:sz w:val="16"/>
                <w:szCs w:val="16"/>
                <w:lang w:eastAsia="fr-BE"/>
              </w:rPr>
            </w:pPr>
            <w:r w:rsidRPr="008066E2">
              <w:rPr>
                <w:rFonts w:ascii="Verdana" w:eastAsia="Times New Roman" w:hAnsi="Verdana" w:cs="Calibri"/>
                <w:i/>
                <w:iCs/>
                <w:color w:val="FFFFFF"/>
                <w:sz w:val="16"/>
                <w:szCs w:val="16"/>
                <w:lang w:eastAsia="fr-BE"/>
              </w:rPr>
              <w:t>2018</w:t>
            </w:r>
          </w:p>
        </w:tc>
        <w:tc>
          <w:tcPr>
            <w:tcW w:w="586" w:type="pct"/>
            <w:tcBorders>
              <w:left w:val="nil"/>
              <w:bottom w:val="double" w:sz="6" w:space="0" w:color="auto"/>
              <w:right w:val="double" w:sz="6" w:space="0" w:color="auto"/>
            </w:tcBorders>
            <w:shd w:val="clear" w:color="000000" w:fill="808080"/>
            <w:vAlign w:val="bottom"/>
            <w:hideMark/>
          </w:tcPr>
          <w:p w:rsidR="008066E2" w:rsidRPr="008066E2" w:rsidRDefault="008066E2" w:rsidP="008066E2">
            <w:pPr>
              <w:spacing w:after="0" w:line="240" w:lineRule="auto"/>
              <w:jc w:val="center"/>
              <w:rPr>
                <w:rFonts w:ascii="Verdana" w:eastAsia="Times New Roman" w:hAnsi="Verdana" w:cs="Calibri"/>
                <w:color w:val="FFFFFF"/>
                <w:sz w:val="16"/>
                <w:szCs w:val="16"/>
                <w:lang w:eastAsia="fr-BE"/>
              </w:rPr>
            </w:pPr>
            <w:r w:rsidRPr="008066E2">
              <w:rPr>
                <w:rFonts w:ascii="Verdana" w:eastAsia="Times New Roman" w:hAnsi="Verdana" w:cs="Calibri"/>
                <w:color w:val="FFFFFF"/>
                <w:sz w:val="16"/>
                <w:szCs w:val="16"/>
                <w:lang w:eastAsia="fr-BE"/>
              </w:rPr>
              <w:t>(%)</w:t>
            </w:r>
          </w:p>
        </w:tc>
      </w:tr>
      <w:tr w:rsidR="008066E2" w:rsidRPr="008066E2" w:rsidTr="007C523F">
        <w:trPr>
          <w:cantSplit/>
          <w:trHeight w:val="315"/>
        </w:trPr>
        <w:tc>
          <w:tcPr>
            <w:tcW w:w="1300"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Rendement (tonnes/ha)</w:t>
            </w:r>
          </w:p>
        </w:tc>
        <w:tc>
          <w:tcPr>
            <w:tcW w:w="346" w:type="pct"/>
            <w:tcBorders>
              <w:top w:val="double" w:sz="6" w:space="0" w:color="auto"/>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72,3</w:t>
            </w:r>
            <w:r w:rsidR="007C523F">
              <w:rPr>
                <w:rFonts w:ascii="Verdana" w:eastAsia="Times New Roman" w:hAnsi="Verdana" w:cs="Calibri"/>
                <w:color w:val="000000"/>
                <w:sz w:val="16"/>
                <w:szCs w:val="16"/>
                <w:lang w:eastAsia="fr-BE"/>
              </w:rPr>
              <w:t>0</w:t>
            </w:r>
          </w:p>
        </w:tc>
        <w:tc>
          <w:tcPr>
            <w:tcW w:w="346" w:type="pct"/>
            <w:tcBorders>
              <w:top w:val="double" w:sz="6" w:space="0" w:color="auto"/>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80,8</w:t>
            </w:r>
            <w:r w:rsidR="007C523F">
              <w:rPr>
                <w:rFonts w:ascii="Verdana" w:eastAsia="Times New Roman" w:hAnsi="Verdana" w:cs="Calibri"/>
                <w:color w:val="000000"/>
                <w:sz w:val="16"/>
                <w:szCs w:val="16"/>
                <w:lang w:eastAsia="fr-BE"/>
              </w:rPr>
              <w:t>0</w:t>
            </w:r>
          </w:p>
        </w:tc>
        <w:tc>
          <w:tcPr>
            <w:tcW w:w="346" w:type="pct"/>
            <w:tcBorders>
              <w:top w:val="double" w:sz="6" w:space="0" w:color="auto"/>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72,79</w:t>
            </w:r>
          </w:p>
        </w:tc>
        <w:tc>
          <w:tcPr>
            <w:tcW w:w="346" w:type="pct"/>
            <w:tcBorders>
              <w:top w:val="double" w:sz="6" w:space="0" w:color="auto"/>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77,52</w:t>
            </w:r>
          </w:p>
        </w:tc>
        <w:tc>
          <w:tcPr>
            <w:tcW w:w="346" w:type="pct"/>
            <w:tcBorders>
              <w:top w:val="double" w:sz="6" w:space="0" w:color="auto"/>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85,95</w:t>
            </w:r>
          </w:p>
        </w:tc>
        <w:tc>
          <w:tcPr>
            <w:tcW w:w="346" w:type="pct"/>
            <w:tcBorders>
              <w:top w:val="double" w:sz="6" w:space="0" w:color="auto"/>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80,85</w:t>
            </w:r>
          </w:p>
        </w:tc>
        <w:tc>
          <w:tcPr>
            <w:tcW w:w="346" w:type="pct"/>
            <w:tcBorders>
              <w:top w:val="double" w:sz="6" w:space="0" w:color="auto"/>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68,23</w:t>
            </w:r>
          </w:p>
        </w:tc>
        <w:tc>
          <w:tcPr>
            <w:tcW w:w="346" w:type="pct"/>
            <w:tcBorders>
              <w:top w:val="double" w:sz="6" w:space="0" w:color="auto"/>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94,66</w:t>
            </w:r>
          </w:p>
        </w:tc>
        <w:tc>
          <w:tcPr>
            <w:tcW w:w="346" w:type="pct"/>
            <w:tcBorders>
              <w:top w:val="double" w:sz="6" w:space="0" w:color="auto"/>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84,94</w:t>
            </w:r>
          </w:p>
        </w:tc>
        <w:tc>
          <w:tcPr>
            <w:tcW w:w="586" w:type="pct"/>
            <w:tcBorders>
              <w:top w:val="double" w:sz="6" w:space="0" w:color="auto"/>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-10%</w:t>
            </w:r>
          </w:p>
        </w:tc>
      </w:tr>
      <w:tr w:rsidR="008066E2" w:rsidRPr="008066E2" w:rsidTr="00462286">
        <w:trPr>
          <w:cantSplit/>
          <w:trHeight w:val="300"/>
        </w:trPr>
        <w:tc>
          <w:tcPr>
            <w:tcW w:w="1300"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Prix moyen (€/tonne)</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31,24</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45,1</w:t>
            </w:r>
            <w:r w:rsidR="001118B9">
              <w:rPr>
                <w:rFonts w:ascii="Verdana" w:eastAsia="Times New Roman" w:hAnsi="Verdana" w:cs="Calibri"/>
                <w:color w:val="000000"/>
                <w:sz w:val="16"/>
                <w:szCs w:val="16"/>
                <w:lang w:eastAsia="fr-BE"/>
              </w:rPr>
              <w:t>0</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47,49</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41,83</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33,25</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34,25</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34,67</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27,34</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23,5</w:t>
            </w:r>
            <w:r w:rsidR="001118B9">
              <w:rPr>
                <w:rFonts w:ascii="Verdana" w:eastAsia="Times New Roman" w:hAnsi="Verdana" w:cs="Calibri"/>
                <w:i/>
                <w:iCs/>
                <w:color w:val="000000"/>
                <w:sz w:val="16"/>
                <w:szCs w:val="16"/>
                <w:lang w:eastAsia="fr-BE"/>
              </w:rPr>
              <w:t>0</w:t>
            </w:r>
          </w:p>
        </w:tc>
        <w:tc>
          <w:tcPr>
            <w:tcW w:w="586"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-14%</w:t>
            </w:r>
          </w:p>
        </w:tc>
      </w:tr>
      <w:tr w:rsidR="008066E2" w:rsidRPr="008066E2" w:rsidTr="00462286">
        <w:trPr>
          <w:cantSplit/>
          <w:trHeight w:val="300"/>
        </w:trPr>
        <w:tc>
          <w:tcPr>
            <w:tcW w:w="1300"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Total des produits (€/ha)</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2.259</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3.644</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3.456</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3.242</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2.858</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2.769</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2.366</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2.588</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1.996</w:t>
            </w:r>
          </w:p>
        </w:tc>
        <w:tc>
          <w:tcPr>
            <w:tcW w:w="586"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-23%</w:t>
            </w:r>
          </w:p>
        </w:tc>
      </w:tr>
      <w:tr w:rsidR="008066E2" w:rsidRPr="008066E2" w:rsidTr="00462286">
        <w:trPr>
          <w:cantSplit/>
          <w:trHeight w:val="300"/>
        </w:trPr>
        <w:tc>
          <w:tcPr>
            <w:tcW w:w="1300"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Avec travaux par tiers</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Times New Roman" w:eastAsia="Times New Roman" w:hAnsi="Times New Roman" w:cs="Times New Roman"/>
                <w:sz w:val="20"/>
                <w:szCs w:val="20"/>
                <w:lang w:eastAsia="fr-BE"/>
              </w:rPr>
            </w:pPr>
          </w:p>
        </w:tc>
        <w:tc>
          <w:tcPr>
            <w:tcW w:w="586"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 </w:t>
            </w:r>
          </w:p>
        </w:tc>
      </w:tr>
      <w:tr w:rsidR="008066E2" w:rsidRPr="008066E2" w:rsidTr="00462286">
        <w:trPr>
          <w:cantSplit/>
          <w:trHeight w:val="300"/>
        </w:trPr>
        <w:tc>
          <w:tcPr>
            <w:tcW w:w="1300" w:type="pct"/>
            <w:tcBorders>
              <w:top w:val="nil"/>
              <w:left w:val="double" w:sz="6" w:space="0" w:color="auto"/>
              <w:bottom w:val="nil"/>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Pr>
                <w:rFonts w:ascii="Verdana" w:eastAsia="Times New Roman" w:hAnsi="Verdana" w:cs="Calibri"/>
                <w:color w:val="000000"/>
                <w:sz w:val="16"/>
                <w:szCs w:val="16"/>
                <w:lang w:eastAsia="fr-BE"/>
              </w:rPr>
              <w:t xml:space="preserve">       </w:t>
            </w:r>
            <w:r w:rsidRPr="008066E2">
              <w:rPr>
                <w:rFonts w:ascii="Verdana" w:eastAsia="Times New Roman" w:hAnsi="Verdana" w:cs="Calibri"/>
                <w:color w:val="000000"/>
                <w:sz w:val="16"/>
                <w:szCs w:val="16"/>
                <w:lang w:eastAsia="fr-BE"/>
              </w:rPr>
              <w:t>- Charges variables (€/ha)</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1112</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1.123</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1.220</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1.279</w:t>
            </w:r>
          </w:p>
        </w:tc>
        <w:tc>
          <w:tcPr>
            <w:tcW w:w="346" w:type="pct"/>
            <w:tcBorders>
              <w:top w:val="nil"/>
              <w:left w:val="nil"/>
              <w:bottom w:val="nil"/>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1.283</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1.277</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1.247</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1.323</w:t>
            </w:r>
          </w:p>
        </w:tc>
        <w:tc>
          <w:tcPr>
            <w:tcW w:w="346" w:type="pct"/>
            <w:tcBorders>
              <w:top w:val="nil"/>
              <w:left w:val="nil"/>
              <w:bottom w:val="nil"/>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1.220</w:t>
            </w:r>
          </w:p>
        </w:tc>
        <w:tc>
          <w:tcPr>
            <w:tcW w:w="586" w:type="pct"/>
            <w:tcBorders>
              <w:top w:val="nil"/>
              <w:left w:val="nil"/>
              <w:bottom w:val="nil"/>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-8%</w:t>
            </w:r>
          </w:p>
        </w:tc>
      </w:tr>
      <w:tr w:rsidR="008066E2" w:rsidRPr="008066E2" w:rsidTr="00462286">
        <w:trPr>
          <w:cantSplit/>
          <w:trHeight w:val="315"/>
        </w:trPr>
        <w:tc>
          <w:tcPr>
            <w:tcW w:w="1300" w:type="pct"/>
            <w:tcBorders>
              <w:top w:val="nil"/>
              <w:left w:val="double" w:sz="6" w:space="0" w:color="auto"/>
              <w:bottom w:val="double" w:sz="6" w:space="0" w:color="auto"/>
              <w:right w:val="single" w:sz="8" w:space="0" w:color="auto"/>
            </w:tcBorders>
            <w:shd w:val="clear" w:color="000000" w:fill="F2F2F2"/>
            <w:noWrap/>
            <w:vAlign w:val="bottom"/>
            <w:hideMark/>
          </w:tcPr>
          <w:p w:rsidR="008066E2" w:rsidRPr="008066E2" w:rsidRDefault="008066E2" w:rsidP="008066E2">
            <w:pPr>
              <w:spacing w:after="0" w:line="240" w:lineRule="auto"/>
              <w:rPr>
                <w:rFonts w:ascii="Verdana" w:eastAsia="Times New Roman" w:hAnsi="Verdana" w:cs="Calibri"/>
                <w:color w:val="000000"/>
                <w:sz w:val="16"/>
                <w:szCs w:val="16"/>
                <w:lang w:eastAsia="fr-BE"/>
              </w:rPr>
            </w:pPr>
            <w:r>
              <w:rPr>
                <w:rFonts w:ascii="Verdana" w:eastAsia="Times New Roman" w:hAnsi="Verdana" w:cs="Calibri"/>
                <w:color w:val="000000"/>
                <w:sz w:val="16"/>
                <w:szCs w:val="16"/>
                <w:lang w:eastAsia="fr-BE"/>
              </w:rPr>
              <w:t xml:space="preserve">       </w:t>
            </w:r>
            <w:r w:rsidRPr="008066E2">
              <w:rPr>
                <w:rFonts w:ascii="Verdana" w:eastAsia="Times New Roman" w:hAnsi="Verdana" w:cs="Calibri"/>
                <w:color w:val="000000"/>
                <w:sz w:val="16"/>
                <w:szCs w:val="16"/>
                <w:lang w:eastAsia="fr-BE"/>
              </w:rPr>
              <w:t>- Marge brute (€/ha)</w:t>
            </w:r>
          </w:p>
        </w:tc>
        <w:tc>
          <w:tcPr>
            <w:tcW w:w="346"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1147</w:t>
            </w:r>
          </w:p>
        </w:tc>
        <w:tc>
          <w:tcPr>
            <w:tcW w:w="346"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2.521</w:t>
            </w:r>
          </w:p>
        </w:tc>
        <w:tc>
          <w:tcPr>
            <w:tcW w:w="346"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2236</w:t>
            </w:r>
          </w:p>
        </w:tc>
        <w:tc>
          <w:tcPr>
            <w:tcW w:w="346"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1.963</w:t>
            </w:r>
          </w:p>
        </w:tc>
        <w:tc>
          <w:tcPr>
            <w:tcW w:w="346" w:type="pct"/>
            <w:tcBorders>
              <w:top w:val="nil"/>
              <w:left w:val="nil"/>
              <w:bottom w:val="double" w:sz="6" w:space="0" w:color="auto"/>
              <w:right w:val="nil"/>
            </w:tcBorders>
            <w:shd w:val="clear" w:color="auto" w:fill="auto"/>
            <w:noWrap/>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1.575</w:t>
            </w:r>
          </w:p>
        </w:tc>
        <w:tc>
          <w:tcPr>
            <w:tcW w:w="346"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1.493</w:t>
            </w:r>
          </w:p>
        </w:tc>
        <w:tc>
          <w:tcPr>
            <w:tcW w:w="346"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1.119</w:t>
            </w:r>
          </w:p>
        </w:tc>
        <w:tc>
          <w:tcPr>
            <w:tcW w:w="346" w:type="pct"/>
            <w:tcBorders>
              <w:top w:val="nil"/>
              <w:left w:val="nil"/>
              <w:bottom w:val="double" w:sz="6" w:space="0" w:color="auto"/>
              <w:right w:val="nil"/>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i/>
                <w:iCs/>
                <w:color w:val="000000"/>
                <w:sz w:val="16"/>
                <w:szCs w:val="16"/>
                <w:lang w:eastAsia="fr-BE"/>
              </w:rPr>
            </w:pPr>
            <w:r w:rsidRPr="008066E2">
              <w:rPr>
                <w:rFonts w:ascii="Verdana" w:eastAsia="Times New Roman" w:hAnsi="Verdana" w:cs="Calibri"/>
                <w:i/>
                <w:iCs/>
                <w:color w:val="000000"/>
                <w:sz w:val="16"/>
                <w:szCs w:val="16"/>
                <w:lang w:eastAsia="fr-BE"/>
              </w:rPr>
              <w:t>1.265</w:t>
            </w:r>
          </w:p>
        </w:tc>
        <w:tc>
          <w:tcPr>
            <w:tcW w:w="346" w:type="pct"/>
            <w:tcBorders>
              <w:top w:val="nil"/>
              <w:left w:val="nil"/>
              <w:bottom w:val="double" w:sz="6" w:space="0" w:color="auto"/>
              <w:right w:val="nil"/>
            </w:tcBorders>
            <w:shd w:val="clear" w:color="auto" w:fill="auto"/>
            <w:vAlign w:val="bottom"/>
            <w:hideMark/>
          </w:tcPr>
          <w:p w:rsidR="008066E2" w:rsidRPr="001118B9" w:rsidRDefault="008066E2" w:rsidP="007C523F">
            <w:pPr>
              <w:spacing w:after="0" w:line="240" w:lineRule="auto"/>
              <w:jc w:val="right"/>
              <w:rPr>
                <w:rFonts w:ascii="Verdana" w:eastAsia="Times New Roman" w:hAnsi="Verdana" w:cs="Calibri"/>
                <w:b/>
                <w:i/>
                <w:iCs/>
                <w:color w:val="FF0000"/>
                <w:sz w:val="16"/>
                <w:szCs w:val="16"/>
                <w:lang w:eastAsia="fr-BE"/>
              </w:rPr>
            </w:pPr>
            <w:r w:rsidRPr="001118B9">
              <w:rPr>
                <w:rFonts w:ascii="Verdana" w:eastAsia="Times New Roman" w:hAnsi="Verdana" w:cs="Calibri"/>
                <w:b/>
                <w:i/>
                <w:iCs/>
                <w:color w:val="FF0000"/>
                <w:sz w:val="16"/>
                <w:szCs w:val="16"/>
                <w:lang w:eastAsia="fr-BE"/>
              </w:rPr>
              <w:t>77</w:t>
            </w:r>
            <w:r w:rsidR="007C523F">
              <w:rPr>
                <w:rFonts w:ascii="Verdana" w:eastAsia="Times New Roman" w:hAnsi="Verdana" w:cs="Calibri"/>
                <w:b/>
                <w:i/>
                <w:iCs/>
                <w:color w:val="FF0000"/>
                <w:sz w:val="16"/>
                <w:szCs w:val="16"/>
                <w:lang w:eastAsia="fr-BE"/>
              </w:rPr>
              <w:t>6</w:t>
            </w:r>
          </w:p>
        </w:tc>
        <w:tc>
          <w:tcPr>
            <w:tcW w:w="586" w:type="pct"/>
            <w:tcBorders>
              <w:top w:val="nil"/>
              <w:left w:val="nil"/>
              <w:bottom w:val="double" w:sz="6" w:space="0" w:color="auto"/>
              <w:right w:val="double" w:sz="6" w:space="0" w:color="auto"/>
            </w:tcBorders>
            <w:shd w:val="clear" w:color="auto" w:fill="auto"/>
            <w:vAlign w:val="bottom"/>
            <w:hideMark/>
          </w:tcPr>
          <w:p w:rsidR="008066E2" w:rsidRPr="008066E2" w:rsidRDefault="008066E2" w:rsidP="008066E2">
            <w:pPr>
              <w:spacing w:after="0" w:line="240" w:lineRule="auto"/>
              <w:jc w:val="right"/>
              <w:rPr>
                <w:rFonts w:ascii="Verdana" w:eastAsia="Times New Roman" w:hAnsi="Verdana" w:cs="Calibri"/>
                <w:color w:val="000000"/>
                <w:sz w:val="16"/>
                <w:szCs w:val="16"/>
                <w:lang w:eastAsia="fr-BE"/>
              </w:rPr>
            </w:pPr>
            <w:r w:rsidRPr="008066E2">
              <w:rPr>
                <w:rFonts w:ascii="Verdana" w:eastAsia="Times New Roman" w:hAnsi="Verdana" w:cs="Calibri"/>
                <w:color w:val="000000"/>
                <w:sz w:val="16"/>
                <w:szCs w:val="16"/>
                <w:lang w:eastAsia="fr-BE"/>
              </w:rPr>
              <w:t>-39%</w:t>
            </w:r>
          </w:p>
        </w:tc>
      </w:tr>
    </w:tbl>
    <w:p w:rsidR="00E46E37" w:rsidRPr="001118B9" w:rsidRDefault="006C439A" w:rsidP="00462286">
      <w:pPr>
        <w:spacing w:before="120"/>
        <w:jc w:val="both"/>
        <w:rPr>
          <w:rFonts w:ascii="Verdana" w:hAnsi="Verdana"/>
          <w:sz w:val="20"/>
          <w:szCs w:val="20"/>
        </w:rPr>
      </w:pPr>
      <w:r w:rsidRPr="001118B9">
        <w:rPr>
          <w:rFonts w:ascii="Verdana" w:hAnsi="Verdana"/>
          <w:sz w:val="20"/>
          <w:szCs w:val="20"/>
        </w:rPr>
        <w:t>En ce qui concerne la betterave sucrière</w:t>
      </w:r>
      <w:r w:rsidR="008E4213" w:rsidRPr="00285A5A">
        <w:rPr>
          <w:rStyle w:val="Appelnotedebasdep"/>
          <w:rFonts w:ascii="Verdana" w:hAnsi="Verdana"/>
          <w:sz w:val="20"/>
          <w:szCs w:val="20"/>
        </w:rPr>
        <w:footnoteReference w:id="5"/>
      </w:r>
      <w:r w:rsidRPr="001118B9">
        <w:rPr>
          <w:rFonts w:ascii="Verdana" w:hAnsi="Verdana"/>
          <w:sz w:val="20"/>
          <w:szCs w:val="20"/>
        </w:rPr>
        <w:t xml:space="preserve">, </w:t>
      </w:r>
      <w:r w:rsidR="000D64CB" w:rsidRPr="001118B9">
        <w:rPr>
          <w:rFonts w:ascii="Verdana" w:hAnsi="Verdana"/>
          <w:sz w:val="20"/>
          <w:szCs w:val="20"/>
        </w:rPr>
        <w:t>la chute des prix, entamée en 2017</w:t>
      </w:r>
      <w:r w:rsidRPr="001118B9">
        <w:rPr>
          <w:rFonts w:ascii="Verdana" w:hAnsi="Verdana"/>
          <w:sz w:val="20"/>
          <w:szCs w:val="20"/>
        </w:rPr>
        <w:t xml:space="preserve"> </w:t>
      </w:r>
      <w:r w:rsidR="000D64CB" w:rsidRPr="001118B9">
        <w:rPr>
          <w:rFonts w:ascii="Verdana" w:hAnsi="Verdana"/>
          <w:sz w:val="20"/>
          <w:szCs w:val="20"/>
        </w:rPr>
        <w:t>suite à</w:t>
      </w:r>
      <w:r w:rsidR="009050EC" w:rsidRPr="001118B9">
        <w:rPr>
          <w:rFonts w:ascii="Verdana" w:hAnsi="Verdana"/>
          <w:sz w:val="20"/>
          <w:szCs w:val="20"/>
        </w:rPr>
        <w:t xml:space="preserve"> la disparition des quotas betteraviers</w:t>
      </w:r>
      <w:r w:rsidR="000D64CB" w:rsidRPr="001118B9">
        <w:rPr>
          <w:rFonts w:ascii="Verdana" w:hAnsi="Verdana"/>
          <w:sz w:val="20"/>
          <w:szCs w:val="20"/>
        </w:rPr>
        <w:t xml:space="preserve">, </w:t>
      </w:r>
      <w:r w:rsidR="001118B9">
        <w:rPr>
          <w:rFonts w:ascii="Verdana" w:hAnsi="Verdana"/>
          <w:sz w:val="20"/>
          <w:szCs w:val="20"/>
        </w:rPr>
        <w:t>se poursuit</w:t>
      </w:r>
      <w:r w:rsidRPr="001118B9">
        <w:rPr>
          <w:rFonts w:ascii="Verdana" w:hAnsi="Verdana"/>
          <w:sz w:val="20"/>
          <w:szCs w:val="20"/>
        </w:rPr>
        <w:t>.</w:t>
      </w:r>
      <w:r w:rsidR="000D64CB" w:rsidRPr="001118B9">
        <w:rPr>
          <w:rFonts w:ascii="Verdana" w:hAnsi="Verdana"/>
          <w:sz w:val="20"/>
          <w:szCs w:val="20"/>
        </w:rPr>
        <w:t xml:space="preserve"> </w:t>
      </w:r>
      <w:r w:rsidR="007C523F">
        <w:rPr>
          <w:rFonts w:ascii="Verdana" w:hAnsi="Verdana"/>
          <w:sz w:val="20"/>
          <w:szCs w:val="20"/>
        </w:rPr>
        <w:t xml:space="preserve">En outre, </w:t>
      </w:r>
      <w:r w:rsidR="000D64CB" w:rsidRPr="001118B9">
        <w:rPr>
          <w:rFonts w:ascii="Verdana" w:hAnsi="Verdana"/>
          <w:sz w:val="20"/>
          <w:szCs w:val="20"/>
        </w:rPr>
        <w:t>les rendements</w:t>
      </w:r>
      <w:r w:rsidR="007C523F">
        <w:rPr>
          <w:rFonts w:ascii="Verdana" w:hAnsi="Verdana"/>
          <w:sz w:val="20"/>
          <w:szCs w:val="20"/>
        </w:rPr>
        <w:t>, sans pour autant être mauvais,</w:t>
      </w:r>
      <w:r w:rsidR="000D64CB" w:rsidRPr="001118B9">
        <w:rPr>
          <w:rFonts w:ascii="Verdana" w:hAnsi="Verdana"/>
          <w:sz w:val="20"/>
          <w:szCs w:val="20"/>
        </w:rPr>
        <w:t xml:space="preserve"> ont été </w:t>
      </w:r>
      <w:r w:rsidR="007C523F">
        <w:rPr>
          <w:rFonts w:ascii="Verdana" w:hAnsi="Verdana"/>
          <w:sz w:val="20"/>
          <w:szCs w:val="20"/>
        </w:rPr>
        <w:t>moindres en regard de l’année précédente</w:t>
      </w:r>
      <w:r w:rsidR="000D64CB" w:rsidRPr="001118B9">
        <w:rPr>
          <w:rFonts w:ascii="Verdana" w:hAnsi="Verdana"/>
          <w:sz w:val="20"/>
          <w:szCs w:val="20"/>
        </w:rPr>
        <w:t>.</w:t>
      </w:r>
      <w:r w:rsidRPr="001118B9">
        <w:rPr>
          <w:rFonts w:ascii="Verdana" w:hAnsi="Verdana"/>
          <w:sz w:val="20"/>
          <w:szCs w:val="20"/>
        </w:rPr>
        <w:t xml:space="preserve"> </w:t>
      </w:r>
      <w:r w:rsidR="007C523F">
        <w:rPr>
          <w:rFonts w:ascii="Verdana" w:hAnsi="Verdana"/>
          <w:sz w:val="20"/>
          <w:szCs w:val="20"/>
        </w:rPr>
        <w:t>Par conséquent,</w:t>
      </w:r>
      <w:r w:rsidRPr="001118B9">
        <w:rPr>
          <w:rFonts w:ascii="Verdana" w:hAnsi="Verdana"/>
          <w:sz w:val="20"/>
          <w:szCs w:val="20"/>
        </w:rPr>
        <w:t xml:space="preserve"> le produit de la spéculation </w:t>
      </w:r>
      <w:r w:rsidR="00285A5A">
        <w:rPr>
          <w:rFonts w:ascii="Verdana" w:hAnsi="Verdana"/>
          <w:sz w:val="20"/>
          <w:szCs w:val="20"/>
        </w:rPr>
        <w:t>accuserait un recul t</w:t>
      </w:r>
      <w:r w:rsidR="007C523F">
        <w:rPr>
          <w:rFonts w:ascii="Verdana" w:hAnsi="Verdana"/>
          <w:sz w:val="20"/>
          <w:szCs w:val="20"/>
        </w:rPr>
        <w:t>rès sensible ;</w:t>
      </w:r>
      <w:r w:rsidR="000D64CB" w:rsidRPr="001118B9">
        <w:rPr>
          <w:rFonts w:ascii="Verdana" w:hAnsi="Verdana"/>
          <w:sz w:val="20"/>
          <w:szCs w:val="20"/>
        </w:rPr>
        <w:t xml:space="preserve"> il attein</w:t>
      </w:r>
      <w:r w:rsidR="00285A5A">
        <w:rPr>
          <w:rFonts w:ascii="Verdana" w:hAnsi="Verdana"/>
          <w:sz w:val="20"/>
          <w:szCs w:val="20"/>
        </w:rPr>
        <w:t>drai</w:t>
      </w:r>
      <w:r w:rsidR="000D64CB" w:rsidRPr="001118B9">
        <w:rPr>
          <w:rFonts w:ascii="Verdana" w:hAnsi="Verdana"/>
          <w:sz w:val="20"/>
          <w:szCs w:val="20"/>
        </w:rPr>
        <w:t xml:space="preserve">t </w:t>
      </w:r>
      <w:r w:rsidR="00285A5A">
        <w:rPr>
          <w:rFonts w:ascii="Verdana" w:hAnsi="Verdana"/>
          <w:sz w:val="20"/>
          <w:szCs w:val="20"/>
        </w:rPr>
        <w:t xml:space="preserve">un </w:t>
      </w:r>
      <w:r w:rsidR="000D64CB" w:rsidRPr="001118B9">
        <w:rPr>
          <w:rFonts w:ascii="Verdana" w:hAnsi="Verdana"/>
          <w:sz w:val="20"/>
          <w:szCs w:val="20"/>
        </w:rPr>
        <w:t xml:space="preserve">niveau </w:t>
      </w:r>
      <w:r w:rsidR="00285A5A">
        <w:rPr>
          <w:rFonts w:ascii="Verdana" w:hAnsi="Verdana"/>
          <w:sz w:val="20"/>
          <w:szCs w:val="20"/>
        </w:rPr>
        <w:t xml:space="preserve">bas </w:t>
      </w:r>
      <w:r w:rsidR="000D64CB" w:rsidRPr="001118B9">
        <w:rPr>
          <w:rFonts w:ascii="Verdana" w:hAnsi="Verdana"/>
          <w:sz w:val="20"/>
          <w:szCs w:val="20"/>
        </w:rPr>
        <w:t xml:space="preserve">non </w:t>
      </w:r>
      <w:r w:rsidR="00285A5A">
        <w:rPr>
          <w:rFonts w:ascii="Verdana" w:hAnsi="Verdana"/>
          <w:sz w:val="20"/>
          <w:szCs w:val="20"/>
        </w:rPr>
        <w:t>encore o</w:t>
      </w:r>
      <w:r w:rsidR="000D64CB" w:rsidRPr="001118B9">
        <w:rPr>
          <w:rFonts w:ascii="Verdana" w:hAnsi="Verdana"/>
          <w:sz w:val="20"/>
          <w:szCs w:val="20"/>
        </w:rPr>
        <w:t>bservé</w:t>
      </w:r>
      <w:r w:rsidR="00285A5A">
        <w:rPr>
          <w:rFonts w:ascii="Verdana" w:hAnsi="Verdana"/>
          <w:sz w:val="20"/>
          <w:szCs w:val="20"/>
        </w:rPr>
        <w:t xml:space="preserve"> au cours de la décennie</w:t>
      </w:r>
      <w:r w:rsidR="000D64CB" w:rsidRPr="001118B9">
        <w:rPr>
          <w:rFonts w:ascii="Verdana" w:hAnsi="Verdana"/>
          <w:sz w:val="20"/>
          <w:szCs w:val="20"/>
        </w:rPr>
        <w:t xml:space="preserve">. </w:t>
      </w:r>
      <w:r w:rsidR="00285A5A">
        <w:rPr>
          <w:rFonts w:ascii="Verdana" w:hAnsi="Verdana"/>
          <w:sz w:val="20"/>
          <w:szCs w:val="20"/>
        </w:rPr>
        <w:t>L</w:t>
      </w:r>
      <w:r w:rsidRPr="001118B9">
        <w:rPr>
          <w:rFonts w:ascii="Verdana" w:hAnsi="Verdana"/>
          <w:sz w:val="20"/>
          <w:szCs w:val="20"/>
        </w:rPr>
        <w:t>e niveau des charges variables</w:t>
      </w:r>
      <w:r w:rsidR="00285A5A">
        <w:rPr>
          <w:rFonts w:ascii="Verdana" w:hAnsi="Verdana"/>
          <w:sz w:val="20"/>
          <w:szCs w:val="20"/>
        </w:rPr>
        <w:t>,</w:t>
      </w:r>
      <w:r w:rsidRPr="001118B9">
        <w:rPr>
          <w:rFonts w:ascii="Verdana" w:hAnsi="Verdana"/>
          <w:sz w:val="20"/>
          <w:szCs w:val="20"/>
        </w:rPr>
        <w:t xml:space="preserve"> </w:t>
      </w:r>
      <w:r w:rsidR="000B7D60" w:rsidRPr="001118B9">
        <w:rPr>
          <w:rFonts w:ascii="Verdana" w:hAnsi="Verdana"/>
          <w:sz w:val="20"/>
          <w:szCs w:val="20"/>
        </w:rPr>
        <w:t>relativement</w:t>
      </w:r>
      <w:r w:rsidRPr="001118B9">
        <w:rPr>
          <w:rFonts w:ascii="Verdana" w:hAnsi="Verdana"/>
          <w:sz w:val="20"/>
          <w:szCs w:val="20"/>
        </w:rPr>
        <w:t xml:space="preserve"> </w:t>
      </w:r>
      <w:r w:rsidR="000D64CB" w:rsidRPr="001118B9">
        <w:rPr>
          <w:rFonts w:ascii="Verdana" w:hAnsi="Verdana"/>
          <w:sz w:val="20"/>
          <w:szCs w:val="20"/>
        </w:rPr>
        <w:t>bas</w:t>
      </w:r>
      <w:r w:rsidR="00285A5A">
        <w:rPr>
          <w:rFonts w:ascii="Verdana" w:hAnsi="Verdana"/>
          <w:sz w:val="20"/>
          <w:szCs w:val="20"/>
        </w:rPr>
        <w:t xml:space="preserve">, ne permet cependant pas d’amortir l’érosion de la </w:t>
      </w:r>
      <w:r w:rsidR="000D64CB" w:rsidRPr="001118B9">
        <w:rPr>
          <w:rFonts w:ascii="Verdana" w:hAnsi="Verdana"/>
          <w:sz w:val="20"/>
          <w:szCs w:val="20"/>
        </w:rPr>
        <w:t>marge brute</w:t>
      </w:r>
      <w:r w:rsidRPr="001118B9">
        <w:rPr>
          <w:rFonts w:ascii="Verdana" w:hAnsi="Verdana"/>
          <w:sz w:val="20"/>
          <w:szCs w:val="20"/>
        </w:rPr>
        <w:t xml:space="preserve">. </w:t>
      </w:r>
      <w:r w:rsidR="000D64CB" w:rsidRPr="001118B9">
        <w:rPr>
          <w:rFonts w:ascii="Verdana" w:hAnsi="Verdana"/>
          <w:sz w:val="20"/>
          <w:szCs w:val="20"/>
        </w:rPr>
        <w:t>L’année 2018 para</w:t>
      </w:r>
      <w:r w:rsidR="00115165">
        <w:rPr>
          <w:rFonts w:ascii="Verdana" w:hAnsi="Verdana"/>
          <w:sz w:val="20"/>
          <w:szCs w:val="20"/>
        </w:rPr>
        <w:t>î</w:t>
      </w:r>
      <w:r w:rsidR="000D64CB" w:rsidRPr="001118B9">
        <w:rPr>
          <w:rFonts w:ascii="Verdana" w:hAnsi="Verdana"/>
          <w:sz w:val="20"/>
          <w:szCs w:val="20"/>
        </w:rPr>
        <w:t>t</w:t>
      </w:r>
      <w:r w:rsidR="00285A5A">
        <w:rPr>
          <w:rFonts w:ascii="Verdana" w:hAnsi="Verdana"/>
          <w:sz w:val="20"/>
          <w:szCs w:val="20"/>
        </w:rPr>
        <w:t>ra</w:t>
      </w:r>
      <w:r w:rsidR="00115165">
        <w:rPr>
          <w:rFonts w:ascii="Verdana" w:hAnsi="Verdana"/>
          <w:sz w:val="20"/>
          <w:szCs w:val="20"/>
        </w:rPr>
        <w:t>it</w:t>
      </w:r>
      <w:r w:rsidR="000D64CB" w:rsidRPr="001118B9">
        <w:rPr>
          <w:rFonts w:ascii="Verdana" w:hAnsi="Verdana"/>
          <w:sz w:val="20"/>
          <w:szCs w:val="20"/>
        </w:rPr>
        <w:t xml:space="preserve"> donc une année difficile pour les producteurs de betteraves </w:t>
      </w:r>
      <w:proofErr w:type="gramStart"/>
      <w:r w:rsidR="000D64CB" w:rsidRPr="001118B9">
        <w:rPr>
          <w:rFonts w:ascii="Verdana" w:hAnsi="Verdana"/>
          <w:sz w:val="20"/>
          <w:szCs w:val="20"/>
        </w:rPr>
        <w:t>sucrières</w:t>
      </w:r>
      <w:proofErr w:type="gramEnd"/>
      <w:r w:rsidR="008D45A8" w:rsidRPr="001118B9">
        <w:rPr>
          <w:rFonts w:ascii="Verdana" w:hAnsi="Verdana"/>
          <w:sz w:val="20"/>
          <w:szCs w:val="20"/>
        </w:rPr>
        <w:t>.</w:t>
      </w:r>
      <w:r w:rsidR="000B7D60" w:rsidRPr="001118B9">
        <w:rPr>
          <w:rFonts w:ascii="Verdana" w:hAnsi="Verdana"/>
          <w:sz w:val="20"/>
          <w:szCs w:val="20"/>
        </w:rPr>
        <w:t xml:space="preserve"> </w:t>
      </w:r>
      <w:r w:rsidR="00C56145">
        <w:rPr>
          <w:rFonts w:ascii="Verdana" w:hAnsi="Verdana"/>
          <w:sz w:val="20"/>
          <w:szCs w:val="20"/>
        </w:rPr>
        <w:t>Pour la première fois depuis 201</w:t>
      </w:r>
      <w:r w:rsidR="004E670A">
        <w:rPr>
          <w:rFonts w:ascii="Verdana" w:hAnsi="Verdana"/>
          <w:sz w:val="20"/>
          <w:szCs w:val="20"/>
        </w:rPr>
        <w:t>1</w:t>
      </w:r>
      <w:r w:rsidR="00C56145">
        <w:rPr>
          <w:rFonts w:ascii="Verdana" w:hAnsi="Verdana"/>
          <w:sz w:val="20"/>
          <w:szCs w:val="20"/>
        </w:rPr>
        <w:t>, la marge brute/ha du froment dépasserait celle de la betterave sucrière.</w:t>
      </w:r>
    </w:p>
    <w:p w:rsidR="009050EC" w:rsidRPr="00285A5A" w:rsidRDefault="00C56145" w:rsidP="004C5D97">
      <w:pPr>
        <w:jc w:val="both"/>
        <w:rPr>
          <w:rFonts w:ascii="Verdana" w:hAnsi="Verdana"/>
          <w:sz w:val="20"/>
          <w:szCs w:val="20"/>
        </w:rPr>
      </w:pPr>
      <w:r>
        <w:rPr>
          <w:rFonts w:ascii="Verdana" w:hAnsi="Verdana"/>
          <w:sz w:val="20"/>
          <w:szCs w:val="20"/>
        </w:rPr>
        <w:t xml:space="preserve">Enfin, alors qu’il a été mis fin aux quotas betteraviers en 2017, on observe en 2018 et en Wallonie la </w:t>
      </w:r>
      <w:r w:rsidR="009050EC" w:rsidRPr="00285A5A">
        <w:rPr>
          <w:rFonts w:ascii="Verdana" w:hAnsi="Verdana"/>
          <w:sz w:val="20"/>
          <w:szCs w:val="20"/>
        </w:rPr>
        <w:t>mis</w:t>
      </w:r>
      <w:r>
        <w:rPr>
          <w:rFonts w:ascii="Verdana" w:hAnsi="Verdana"/>
          <w:sz w:val="20"/>
          <w:szCs w:val="20"/>
        </w:rPr>
        <w:t>e</w:t>
      </w:r>
      <w:r w:rsidR="009050EC" w:rsidRPr="00285A5A">
        <w:rPr>
          <w:rFonts w:ascii="Verdana" w:hAnsi="Verdana"/>
          <w:sz w:val="20"/>
          <w:szCs w:val="20"/>
        </w:rPr>
        <w:t xml:space="preserve"> en place </w:t>
      </w:r>
      <w:r>
        <w:rPr>
          <w:rFonts w:ascii="Verdana" w:hAnsi="Verdana"/>
          <w:sz w:val="20"/>
          <w:szCs w:val="20"/>
        </w:rPr>
        <w:t xml:space="preserve">de </w:t>
      </w:r>
      <w:r w:rsidR="00F803E9" w:rsidRPr="00285A5A">
        <w:rPr>
          <w:rFonts w:ascii="Verdana" w:hAnsi="Verdana"/>
          <w:sz w:val="20"/>
          <w:szCs w:val="20"/>
        </w:rPr>
        <w:t xml:space="preserve">la plus grande superficie de </w:t>
      </w:r>
      <w:r>
        <w:rPr>
          <w:rFonts w:ascii="Verdana" w:hAnsi="Verdana"/>
          <w:sz w:val="20"/>
          <w:szCs w:val="20"/>
        </w:rPr>
        <w:t>betteraves sucrières</w:t>
      </w:r>
      <w:r w:rsidR="009050EC" w:rsidRPr="00285A5A">
        <w:rPr>
          <w:rFonts w:ascii="Verdana" w:hAnsi="Verdana"/>
          <w:sz w:val="20"/>
          <w:szCs w:val="20"/>
        </w:rPr>
        <w:t xml:space="preserve"> </w:t>
      </w:r>
      <w:r>
        <w:rPr>
          <w:rFonts w:ascii="Verdana" w:hAnsi="Verdana"/>
          <w:sz w:val="20"/>
          <w:szCs w:val="20"/>
        </w:rPr>
        <w:t xml:space="preserve">depuis le début de la décennie </w:t>
      </w:r>
      <w:r w:rsidR="00F803E9" w:rsidRPr="00285A5A">
        <w:rPr>
          <w:rFonts w:ascii="Verdana" w:hAnsi="Verdana"/>
          <w:sz w:val="20"/>
          <w:szCs w:val="20"/>
        </w:rPr>
        <w:t xml:space="preserve">avec </w:t>
      </w:r>
      <w:r w:rsidR="009050EC" w:rsidRPr="00285A5A">
        <w:rPr>
          <w:rFonts w:ascii="Verdana" w:hAnsi="Verdana"/>
          <w:sz w:val="20"/>
          <w:szCs w:val="20"/>
        </w:rPr>
        <w:t xml:space="preserve">près de </w:t>
      </w:r>
      <w:r w:rsidR="009B06F7" w:rsidRPr="00285A5A">
        <w:rPr>
          <w:rFonts w:ascii="Verdana" w:hAnsi="Verdana"/>
          <w:sz w:val="20"/>
          <w:szCs w:val="20"/>
        </w:rPr>
        <w:t>42 610</w:t>
      </w:r>
      <w:r w:rsidR="000D64CB" w:rsidRPr="00285A5A">
        <w:rPr>
          <w:rStyle w:val="Appelnotedebasdep"/>
          <w:rFonts w:ascii="Verdana" w:hAnsi="Verdana"/>
          <w:sz w:val="20"/>
          <w:szCs w:val="20"/>
        </w:rPr>
        <w:footnoteReference w:id="6"/>
      </w:r>
      <w:r w:rsidR="009050EC" w:rsidRPr="00285A5A">
        <w:rPr>
          <w:rFonts w:ascii="Verdana" w:hAnsi="Verdana"/>
          <w:sz w:val="20"/>
          <w:szCs w:val="20"/>
        </w:rPr>
        <w:t xml:space="preserve"> ha soit 2</w:t>
      </w:r>
      <w:r w:rsidR="009B06F7" w:rsidRPr="00285A5A">
        <w:rPr>
          <w:rFonts w:ascii="Verdana" w:hAnsi="Verdana"/>
          <w:sz w:val="20"/>
          <w:szCs w:val="20"/>
        </w:rPr>
        <w:t>3</w:t>
      </w:r>
      <w:r w:rsidR="009050EC" w:rsidRPr="00285A5A">
        <w:rPr>
          <w:rFonts w:ascii="Verdana" w:hAnsi="Verdana"/>
          <w:sz w:val="20"/>
          <w:szCs w:val="20"/>
        </w:rPr>
        <w:t>% de plus que l’année 2015 où l’on a enregistré la plus faible superficie</w:t>
      </w:r>
      <w:r>
        <w:rPr>
          <w:rFonts w:ascii="Verdana" w:hAnsi="Verdana"/>
          <w:sz w:val="20"/>
          <w:szCs w:val="20"/>
        </w:rPr>
        <w:t xml:space="preserve"> de cette culture</w:t>
      </w:r>
      <w:r w:rsidR="009050EC" w:rsidRPr="00285A5A">
        <w:rPr>
          <w:rFonts w:ascii="Verdana" w:hAnsi="Verdana"/>
          <w:sz w:val="20"/>
          <w:szCs w:val="20"/>
        </w:rPr>
        <w:t>.</w:t>
      </w:r>
    </w:p>
    <w:p w:rsidR="00713619" w:rsidRDefault="00713619" w:rsidP="00713619">
      <w:pPr>
        <w:keepNext/>
        <w:jc w:val="both"/>
      </w:pPr>
      <w:r>
        <w:rPr>
          <w:noProof/>
          <w:lang w:eastAsia="fr-BE"/>
        </w:rPr>
        <w:drawing>
          <wp:inline distT="0" distB="0" distL="0" distR="0">
            <wp:extent cx="5760720" cy="2471420"/>
            <wp:effectExtent l="0" t="0" r="0" b="0"/>
            <wp:docPr id="1" name="Graphique 1">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00000000-0008-0000-06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F2C7B" w:rsidRDefault="00713619" w:rsidP="00713619">
      <w:pPr>
        <w:pStyle w:val="Lgende"/>
        <w:jc w:val="both"/>
      </w:pPr>
      <w:r>
        <w:t xml:space="preserve">Figure </w:t>
      </w:r>
      <w:r w:rsidR="004C6795">
        <w:rPr>
          <w:noProof/>
        </w:rPr>
        <w:fldChar w:fldCharType="begin"/>
      </w:r>
      <w:r w:rsidR="008A290D">
        <w:rPr>
          <w:noProof/>
        </w:rPr>
        <w:instrText xml:space="preserve"> SEQ Figure \* ARABIC </w:instrText>
      </w:r>
      <w:r w:rsidR="004C6795">
        <w:rPr>
          <w:noProof/>
        </w:rPr>
        <w:fldChar w:fldCharType="separate"/>
      </w:r>
      <w:r w:rsidR="008E4213">
        <w:rPr>
          <w:noProof/>
        </w:rPr>
        <w:t>5</w:t>
      </w:r>
      <w:r w:rsidR="004C6795">
        <w:rPr>
          <w:noProof/>
        </w:rPr>
        <w:fldChar w:fldCharType="end"/>
      </w:r>
      <w:r>
        <w:t xml:space="preserve"> Marge brute (avec travaux par tiers) des cultures en €/ha</w:t>
      </w:r>
    </w:p>
    <w:p w:rsidR="00C56145" w:rsidRDefault="00C56145">
      <w:r>
        <w:br w:type="page"/>
      </w:r>
    </w:p>
    <w:p w:rsidR="00E46E37" w:rsidRPr="00C56145" w:rsidRDefault="00E46E37" w:rsidP="00713619">
      <w:pPr>
        <w:spacing w:before="120"/>
        <w:jc w:val="both"/>
        <w:rPr>
          <w:rFonts w:ascii="Verdana" w:hAnsi="Verdana"/>
          <w:sz w:val="20"/>
          <w:szCs w:val="20"/>
        </w:rPr>
      </w:pPr>
      <w:r w:rsidRPr="00C56145">
        <w:rPr>
          <w:rFonts w:ascii="Verdana" w:hAnsi="Verdana"/>
          <w:sz w:val="20"/>
          <w:szCs w:val="20"/>
        </w:rPr>
        <w:t xml:space="preserve">D 2) </w:t>
      </w:r>
      <w:r w:rsidRPr="00C56145">
        <w:rPr>
          <w:rFonts w:ascii="Verdana" w:hAnsi="Verdana"/>
          <w:sz w:val="20"/>
          <w:szCs w:val="20"/>
          <w:u w:val="dotted"/>
        </w:rPr>
        <w:t>en production laitière</w:t>
      </w:r>
    </w:p>
    <w:tbl>
      <w:tblPr>
        <w:tblW w:w="5000" w:type="pct"/>
        <w:tblCellMar>
          <w:left w:w="70" w:type="dxa"/>
          <w:right w:w="70" w:type="dxa"/>
        </w:tblCellMar>
        <w:tblLook w:val="04A0"/>
      </w:tblPr>
      <w:tblGrid>
        <w:gridCol w:w="2077"/>
        <w:gridCol w:w="691"/>
        <w:gridCol w:w="697"/>
        <w:gridCol w:w="698"/>
        <w:gridCol w:w="698"/>
        <w:gridCol w:w="698"/>
        <w:gridCol w:w="698"/>
        <w:gridCol w:w="698"/>
        <w:gridCol w:w="698"/>
        <w:gridCol w:w="643"/>
        <w:gridCol w:w="916"/>
      </w:tblGrid>
      <w:tr w:rsidR="002C17B8" w:rsidRPr="002C17B8" w:rsidTr="002C17B8">
        <w:trPr>
          <w:trHeight w:val="450"/>
        </w:trPr>
        <w:tc>
          <w:tcPr>
            <w:tcW w:w="789" w:type="pct"/>
            <w:tcBorders>
              <w:top w:val="nil"/>
              <w:left w:val="double" w:sz="6" w:space="0" w:color="auto"/>
              <w:bottom w:val="double" w:sz="6" w:space="0" w:color="auto"/>
              <w:right w:val="single" w:sz="8" w:space="0" w:color="auto"/>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 xml:space="preserve">Marge brute </w:t>
            </w:r>
            <w:proofErr w:type="gramStart"/>
            <w:r w:rsidRPr="002C17B8">
              <w:rPr>
                <w:rFonts w:ascii="Verdana" w:eastAsia="Times New Roman" w:hAnsi="Verdana" w:cs="Calibri"/>
                <w:color w:val="FFFFFF"/>
                <w:sz w:val="16"/>
                <w:szCs w:val="16"/>
                <w:lang w:eastAsia="fr-BE"/>
              </w:rPr>
              <w:t>lait</w:t>
            </w:r>
            <w:proofErr w:type="gramEnd"/>
            <w:r w:rsidRPr="002C17B8">
              <w:rPr>
                <w:rFonts w:ascii="Verdana" w:eastAsia="Times New Roman" w:hAnsi="Verdana" w:cs="Calibri"/>
                <w:color w:val="FFFFFF"/>
                <w:sz w:val="16"/>
                <w:szCs w:val="16"/>
                <w:lang w:eastAsia="fr-BE"/>
              </w:rPr>
              <w:br/>
              <w:t>(€/100 L lait)</w:t>
            </w:r>
          </w:p>
        </w:tc>
        <w:tc>
          <w:tcPr>
            <w:tcW w:w="423"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2010</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2011</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2012</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2013</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2014</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2015</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2016</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2017</w:t>
            </w:r>
          </w:p>
        </w:tc>
        <w:tc>
          <w:tcPr>
            <w:tcW w:w="396" w:type="pct"/>
            <w:tcBorders>
              <w:top w:val="double" w:sz="6" w:space="0" w:color="auto"/>
              <w:left w:val="nil"/>
              <w:bottom w:val="double" w:sz="6" w:space="0" w:color="auto"/>
              <w:right w:val="nil"/>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2018 prov</w:t>
            </w:r>
          </w:p>
        </w:tc>
        <w:tc>
          <w:tcPr>
            <w:tcW w:w="411" w:type="pct"/>
            <w:tcBorders>
              <w:top w:val="double" w:sz="6" w:space="0" w:color="auto"/>
              <w:left w:val="nil"/>
              <w:bottom w:val="double" w:sz="6" w:space="0" w:color="auto"/>
              <w:right w:val="double" w:sz="6" w:space="0" w:color="auto"/>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C56145">
              <w:rPr>
                <w:rFonts w:ascii="Verdana" w:eastAsia="Times New Roman" w:hAnsi="Verdana" w:cs="Calibri"/>
                <w:color w:val="FFFFFF"/>
                <w:sz w:val="14"/>
                <w:szCs w:val="14"/>
                <w:lang w:eastAsia="fr-BE"/>
              </w:rPr>
              <w:t>2017/2018</w:t>
            </w:r>
            <w:r w:rsidRPr="002C17B8">
              <w:rPr>
                <w:rFonts w:ascii="Verdana" w:eastAsia="Times New Roman" w:hAnsi="Verdana" w:cs="Calibri"/>
                <w:color w:val="FFFFFF"/>
                <w:sz w:val="16"/>
                <w:szCs w:val="16"/>
                <w:lang w:eastAsia="fr-BE"/>
              </w:rPr>
              <w:br/>
              <w:t>(%)</w:t>
            </w:r>
          </w:p>
        </w:tc>
      </w:tr>
      <w:tr w:rsidR="002C17B8" w:rsidRPr="002C17B8" w:rsidTr="002C17B8">
        <w:trPr>
          <w:trHeight w:val="315"/>
        </w:trPr>
        <w:tc>
          <w:tcPr>
            <w:tcW w:w="789" w:type="pct"/>
            <w:tcBorders>
              <w:top w:val="nil"/>
              <w:left w:val="double" w:sz="6" w:space="0" w:color="auto"/>
              <w:bottom w:val="nil"/>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Produits</w:t>
            </w:r>
          </w:p>
        </w:tc>
        <w:tc>
          <w:tcPr>
            <w:tcW w:w="423"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36,2</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39,5</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37,1</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43,2</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42,3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34,5</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32,0</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40,4</w:t>
            </w:r>
          </w:p>
        </w:tc>
        <w:tc>
          <w:tcPr>
            <w:tcW w:w="39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38,6</w:t>
            </w:r>
          </w:p>
        </w:tc>
        <w:tc>
          <w:tcPr>
            <w:tcW w:w="411" w:type="pct"/>
            <w:tcBorders>
              <w:top w:val="nil"/>
              <w:left w:val="nil"/>
              <w:bottom w:val="nil"/>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w:t>
            </w:r>
          </w:p>
        </w:tc>
      </w:tr>
      <w:tr w:rsidR="002C17B8" w:rsidRPr="002C17B8" w:rsidTr="002C17B8">
        <w:trPr>
          <w:trHeight w:val="300"/>
        </w:trPr>
        <w:tc>
          <w:tcPr>
            <w:tcW w:w="789" w:type="pct"/>
            <w:tcBorders>
              <w:top w:val="nil"/>
              <w:left w:val="double" w:sz="6" w:space="0" w:color="auto"/>
              <w:bottom w:val="nil"/>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Charges opérationnelles</w:t>
            </w:r>
          </w:p>
        </w:tc>
        <w:tc>
          <w:tcPr>
            <w:tcW w:w="423"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12,9</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14,9</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16,3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15,9</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14,9</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14,0</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13,6</w:t>
            </w:r>
          </w:p>
        </w:tc>
        <w:tc>
          <w:tcPr>
            <w:tcW w:w="42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13,4</w:t>
            </w:r>
          </w:p>
        </w:tc>
        <w:tc>
          <w:tcPr>
            <w:tcW w:w="39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13,4</w:t>
            </w:r>
          </w:p>
        </w:tc>
        <w:tc>
          <w:tcPr>
            <w:tcW w:w="411" w:type="pct"/>
            <w:tcBorders>
              <w:top w:val="nil"/>
              <w:left w:val="nil"/>
              <w:bottom w:val="nil"/>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0%</w:t>
            </w:r>
          </w:p>
        </w:tc>
      </w:tr>
      <w:tr w:rsidR="002C17B8" w:rsidRPr="002C17B8" w:rsidTr="002C17B8">
        <w:trPr>
          <w:trHeight w:val="300"/>
        </w:trPr>
        <w:tc>
          <w:tcPr>
            <w:tcW w:w="789" w:type="pct"/>
            <w:tcBorders>
              <w:top w:val="nil"/>
              <w:left w:val="double" w:sz="6" w:space="0" w:color="auto"/>
              <w:bottom w:val="nil"/>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Marge brute du lait</w:t>
            </w:r>
          </w:p>
        </w:tc>
        <w:tc>
          <w:tcPr>
            <w:tcW w:w="423"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23,3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24,6</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20,8</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27,3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27,4</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20,5</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18,4</w:t>
            </w:r>
          </w:p>
        </w:tc>
        <w:tc>
          <w:tcPr>
            <w:tcW w:w="42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27,0</w:t>
            </w:r>
          </w:p>
        </w:tc>
        <w:tc>
          <w:tcPr>
            <w:tcW w:w="39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25,2</w:t>
            </w:r>
          </w:p>
        </w:tc>
        <w:tc>
          <w:tcPr>
            <w:tcW w:w="411" w:type="pct"/>
            <w:tcBorders>
              <w:top w:val="nil"/>
              <w:left w:val="nil"/>
              <w:bottom w:val="nil"/>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w:t>
            </w:r>
          </w:p>
        </w:tc>
      </w:tr>
      <w:tr w:rsidR="002C17B8" w:rsidRPr="002C17B8" w:rsidTr="002C17B8">
        <w:trPr>
          <w:trHeight w:val="315"/>
        </w:trPr>
        <w:tc>
          <w:tcPr>
            <w:tcW w:w="789" w:type="pct"/>
            <w:tcBorders>
              <w:top w:val="nil"/>
              <w:left w:val="double" w:sz="6" w:space="0" w:color="auto"/>
              <w:bottom w:val="double" w:sz="6" w:space="0" w:color="auto"/>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Valorisation du lait</w:t>
            </w:r>
          </w:p>
        </w:tc>
        <w:tc>
          <w:tcPr>
            <w:tcW w:w="423"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30,9</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34,0</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30,8</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38,4</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38,4</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30,6</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28,1</w:t>
            </w:r>
          </w:p>
        </w:tc>
        <w:tc>
          <w:tcPr>
            <w:tcW w:w="426" w:type="pct"/>
            <w:tcBorders>
              <w:top w:val="nil"/>
              <w:left w:val="nil"/>
              <w:bottom w:val="double" w:sz="6" w:space="0" w:color="auto"/>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36,3</w:t>
            </w:r>
          </w:p>
        </w:tc>
        <w:tc>
          <w:tcPr>
            <w:tcW w:w="396" w:type="pct"/>
            <w:tcBorders>
              <w:top w:val="nil"/>
              <w:left w:val="nil"/>
              <w:bottom w:val="double" w:sz="6" w:space="0" w:color="auto"/>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34,2</w:t>
            </w:r>
          </w:p>
        </w:tc>
        <w:tc>
          <w:tcPr>
            <w:tcW w:w="411" w:type="pct"/>
            <w:tcBorders>
              <w:top w:val="nil"/>
              <w:left w:val="nil"/>
              <w:bottom w:val="double" w:sz="6" w:space="0" w:color="auto"/>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w:t>
            </w:r>
          </w:p>
        </w:tc>
      </w:tr>
    </w:tbl>
    <w:p w:rsidR="00E46E37" w:rsidRDefault="00E46E37"/>
    <w:p w:rsidR="00D4547F" w:rsidRDefault="00855E9E" w:rsidP="00D4547F">
      <w:pPr>
        <w:keepNext/>
        <w:jc w:val="both"/>
      </w:pPr>
      <w:r>
        <w:rPr>
          <w:noProof/>
          <w:lang w:eastAsia="fr-BE"/>
        </w:rPr>
        <w:drawing>
          <wp:inline distT="0" distB="0" distL="0" distR="0">
            <wp:extent cx="5602523" cy="2640164"/>
            <wp:effectExtent l="19050" t="0" r="17227" b="7786"/>
            <wp:docPr id="2" name="Graphique 2">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BCBDF29A-FC0A-4BAD-B0CB-D1A6FDDD75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46E37" w:rsidRDefault="00D4547F" w:rsidP="00D4547F">
      <w:pPr>
        <w:pStyle w:val="Lgende"/>
        <w:jc w:val="both"/>
      </w:pPr>
      <w:r>
        <w:t xml:space="preserve">Figure </w:t>
      </w:r>
      <w:r w:rsidR="004C6795">
        <w:rPr>
          <w:noProof/>
        </w:rPr>
        <w:fldChar w:fldCharType="begin"/>
      </w:r>
      <w:r w:rsidR="00CB3414">
        <w:rPr>
          <w:noProof/>
        </w:rPr>
        <w:instrText xml:space="preserve"> SEQ Figure \* ARABIC </w:instrText>
      </w:r>
      <w:r w:rsidR="004C6795">
        <w:rPr>
          <w:noProof/>
        </w:rPr>
        <w:fldChar w:fldCharType="separate"/>
      </w:r>
      <w:r w:rsidR="008E4213">
        <w:rPr>
          <w:noProof/>
        </w:rPr>
        <w:t>6</w:t>
      </w:r>
      <w:r w:rsidR="004C6795">
        <w:rPr>
          <w:noProof/>
        </w:rPr>
        <w:fldChar w:fldCharType="end"/>
      </w:r>
      <w:r w:rsidR="00E61232">
        <w:t xml:space="preserve"> Ma</w:t>
      </w:r>
      <w:r>
        <w:t>rge brute</w:t>
      </w:r>
      <w:r w:rsidR="000D7F06">
        <w:t xml:space="preserve"> et valorisation</w:t>
      </w:r>
      <w:r>
        <w:t xml:space="preserve"> de la production laitière en €/100 L de lait</w:t>
      </w:r>
    </w:p>
    <w:p w:rsidR="00E46E37" w:rsidRDefault="00E46E37" w:rsidP="000C6B6A">
      <w:pPr>
        <w:spacing w:after="0"/>
        <w:jc w:val="both"/>
      </w:pPr>
    </w:p>
    <w:p w:rsidR="000D1D81" w:rsidRPr="00C56145" w:rsidRDefault="000C6B6A" w:rsidP="000D1D81">
      <w:pPr>
        <w:jc w:val="both"/>
        <w:rPr>
          <w:rFonts w:ascii="Verdana" w:hAnsi="Verdana"/>
          <w:sz w:val="20"/>
          <w:szCs w:val="20"/>
        </w:rPr>
      </w:pPr>
      <w:r w:rsidRPr="00C56145">
        <w:rPr>
          <w:rFonts w:ascii="Verdana" w:hAnsi="Verdana"/>
          <w:sz w:val="20"/>
          <w:szCs w:val="20"/>
        </w:rPr>
        <w:t>Les produits de la spéculation laitière ont</w:t>
      </w:r>
      <w:r w:rsidR="00855E9E" w:rsidRPr="00C56145">
        <w:rPr>
          <w:rFonts w:ascii="Verdana" w:hAnsi="Verdana"/>
          <w:sz w:val="20"/>
          <w:szCs w:val="20"/>
        </w:rPr>
        <w:t>,</w:t>
      </w:r>
      <w:r w:rsidRPr="00C56145">
        <w:rPr>
          <w:rFonts w:ascii="Verdana" w:hAnsi="Verdana"/>
          <w:sz w:val="20"/>
          <w:szCs w:val="20"/>
        </w:rPr>
        <w:t xml:space="preserve"> en 201</w:t>
      </w:r>
      <w:r w:rsidR="002C17B8" w:rsidRPr="00C56145">
        <w:rPr>
          <w:rFonts w:ascii="Verdana" w:hAnsi="Verdana"/>
          <w:sz w:val="20"/>
          <w:szCs w:val="20"/>
        </w:rPr>
        <w:t>8</w:t>
      </w:r>
      <w:r w:rsidR="00855E9E" w:rsidRPr="00C56145">
        <w:rPr>
          <w:rFonts w:ascii="Verdana" w:hAnsi="Verdana"/>
          <w:sz w:val="20"/>
          <w:szCs w:val="20"/>
        </w:rPr>
        <w:t xml:space="preserve">, </w:t>
      </w:r>
      <w:r w:rsidR="00D52ADF">
        <w:rPr>
          <w:rFonts w:ascii="Verdana" w:hAnsi="Verdana"/>
          <w:sz w:val="20"/>
          <w:szCs w:val="20"/>
        </w:rPr>
        <w:t>quelque peu</w:t>
      </w:r>
      <w:r w:rsidR="00855E9E" w:rsidRPr="00C56145">
        <w:rPr>
          <w:rFonts w:ascii="Verdana" w:hAnsi="Verdana"/>
          <w:sz w:val="20"/>
          <w:szCs w:val="20"/>
        </w:rPr>
        <w:t xml:space="preserve"> baissé par rapport à l’année précédente, principalement dû à la </w:t>
      </w:r>
      <w:r w:rsidR="000D1D81" w:rsidRPr="00C56145">
        <w:rPr>
          <w:rFonts w:ascii="Verdana" w:hAnsi="Verdana"/>
          <w:sz w:val="20"/>
          <w:szCs w:val="20"/>
        </w:rPr>
        <w:t>plus faible valorisation du lait</w:t>
      </w:r>
      <w:r w:rsidRPr="00C56145">
        <w:rPr>
          <w:rFonts w:ascii="Verdana" w:hAnsi="Verdana"/>
          <w:sz w:val="20"/>
          <w:szCs w:val="20"/>
        </w:rPr>
        <w:t xml:space="preserve">. Avec des charges opérationnelles équivalentes </w:t>
      </w:r>
      <w:r w:rsidR="000D1D81" w:rsidRPr="00C56145">
        <w:rPr>
          <w:rFonts w:ascii="Verdana" w:hAnsi="Verdana"/>
          <w:sz w:val="20"/>
          <w:szCs w:val="20"/>
        </w:rPr>
        <w:t>à celles</w:t>
      </w:r>
      <w:r w:rsidRPr="00C56145">
        <w:rPr>
          <w:rFonts w:ascii="Verdana" w:hAnsi="Verdana"/>
          <w:sz w:val="20"/>
          <w:szCs w:val="20"/>
        </w:rPr>
        <w:t xml:space="preserve"> observé</w:t>
      </w:r>
      <w:r w:rsidR="008D1E25">
        <w:rPr>
          <w:rFonts w:ascii="Verdana" w:hAnsi="Verdana"/>
          <w:sz w:val="20"/>
          <w:szCs w:val="20"/>
        </w:rPr>
        <w:t>es en 2017</w:t>
      </w:r>
      <w:r w:rsidRPr="00C56145">
        <w:rPr>
          <w:rFonts w:ascii="Verdana" w:hAnsi="Verdana"/>
          <w:sz w:val="20"/>
          <w:szCs w:val="20"/>
        </w:rPr>
        <w:t xml:space="preserve">, il en résulte une </w:t>
      </w:r>
      <w:r w:rsidR="00855E9E" w:rsidRPr="00C56145">
        <w:rPr>
          <w:rFonts w:ascii="Verdana" w:hAnsi="Verdana"/>
          <w:sz w:val="20"/>
          <w:szCs w:val="20"/>
        </w:rPr>
        <w:t>légère diminution</w:t>
      </w:r>
      <w:r w:rsidRPr="00C56145">
        <w:rPr>
          <w:rFonts w:ascii="Verdana" w:hAnsi="Verdana"/>
          <w:sz w:val="20"/>
          <w:szCs w:val="20"/>
        </w:rPr>
        <w:t xml:space="preserve"> </w:t>
      </w:r>
      <w:r w:rsidR="00855E9E" w:rsidRPr="00C56145">
        <w:rPr>
          <w:rFonts w:ascii="Verdana" w:hAnsi="Verdana"/>
          <w:sz w:val="20"/>
          <w:szCs w:val="20"/>
        </w:rPr>
        <w:t xml:space="preserve">de la </w:t>
      </w:r>
      <w:r w:rsidRPr="00C56145">
        <w:rPr>
          <w:rFonts w:ascii="Verdana" w:hAnsi="Verdana"/>
          <w:sz w:val="20"/>
          <w:szCs w:val="20"/>
        </w:rPr>
        <w:t>marge brute par 100 litres de lait produit.</w:t>
      </w:r>
      <w:r w:rsidR="000D7F06" w:rsidRPr="00C56145">
        <w:rPr>
          <w:rFonts w:ascii="Verdana" w:hAnsi="Verdana"/>
          <w:sz w:val="20"/>
          <w:szCs w:val="20"/>
        </w:rPr>
        <w:t xml:space="preserve"> </w:t>
      </w:r>
      <w:r w:rsidR="000D1D81" w:rsidRPr="00C56145">
        <w:rPr>
          <w:rFonts w:ascii="Verdana" w:hAnsi="Verdana"/>
          <w:sz w:val="20"/>
          <w:szCs w:val="20"/>
        </w:rPr>
        <w:t>Cela situe</w:t>
      </w:r>
      <w:r w:rsidR="008D1E25">
        <w:rPr>
          <w:rFonts w:ascii="Verdana" w:hAnsi="Verdana"/>
          <w:sz w:val="20"/>
          <w:szCs w:val="20"/>
        </w:rPr>
        <w:t>rait</w:t>
      </w:r>
      <w:r w:rsidR="000D1D81" w:rsidRPr="00C56145">
        <w:rPr>
          <w:rFonts w:ascii="Verdana" w:hAnsi="Verdana"/>
          <w:sz w:val="20"/>
          <w:szCs w:val="20"/>
        </w:rPr>
        <w:t xml:space="preserve"> l’année 2018 au quatrième rang de performance de </w:t>
      </w:r>
      <w:r w:rsidR="008D1E25">
        <w:rPr>
          <w:rFonts w:ascii="Verdana" w:hAnsi="Verdana"/>
          <w:sz w:val="20"/>
          <w:szCs w:val="20"/>
        </w:rPr>
        <w:t xml:space="preserve">la </w:t>
      </w:r>
      <w:r w:rsidR="000D1D81" w:rsidRPr="00C56145">
        <w:rPr>
          <w:rFonts w:ascii="Verdana" w:hAnsi="Verdana"/>
          <w:sz w:val="20"/>
          <w:szCs w:val="20"/>
        </w:rPr>
        <w:t xml:space="preserve">décennie </w:t>
      </w:r>
      <w:r w:rsidR="008D1E25">
        <w:rPr>
          <w:rFonts w:ascii="Verdana" w:hAnsi="Verdana"/>
          <w:sz w:val="20"/>
          <w:szCs w:val="20"/>
        </w:rPr>
        <w:t xml:space="preserve">en cours </w:t>
      </w:r>
      <w:r w:rsidR="000D1D81" w:rsidRPr="00C56145">
        <w:rPr>
          <w:rFonts w:ascii="Verdana" w:hAnsi="Verdana"/>
          <w:sz w:val="20"/>
          <w:szCs w:val="20"/>
        </w:rPr>
        <w:t>à équivalence de niveau avec 2011.</w:t>
      </w:r>
    </w:p>
    <w:p w:rsidR="000C6B6A" w:rsidRPr="003A634F" w:rsidRDefault="000D7F06" w:rsidP="004C5D97">
      <w:pPr>
        <w:jc w:val="both"/>
        <w:rPr>
          <w:rFonts w:ascii="Verdana" w:hAnsi="Verdana"/>
          <w:sz w:val="20"/>
          <w:szCs w:val="20"/>
        </w:rPr>
      </w:pPr>
      <w:r w:rsidRPr="003A634F">
        <w:rPr>
          <w:rFonts w:ascii="Verdana" w:hAnsi="Verdana"/>
          <w:sz w:val="20"/>
          <w:szCs w:val="20"/>
        </w:rPr>
        <w:t>La figure ci-dessus illustre bien l’effet p</w:t>
      </w:r>
      <w:r w:rsidR="000D1D81" w:rsidRPr="003A634F">
        <w:rPr>
          <w:rFonts w:ascii="Verdana" w:hAnsi="Verdana"/>
          <w:sz w:val="20"/>
          <w:szCs w:val="20"/>
        </w:rPr>
        <w:t>rép</w:t>
      </w:r>
      <w:r w:rsidRPr="003A634F">
        <w:rPr>
          <w:rFonts w:ascii="Verdana" w:hAnsi="Verdana"/>
          <w:sz w:val="20"/>
          <w:szCs w:val="20"/>
        </w:rPr>
        <w:t>ondérant de la variation des prix sur l’évolution de la marge brute.</w:t>
      </w:r>
      <w:r w:rsidR="000C6B6A" w:rsidRPr="003A634F">
        <w:rPr>
          <w:rFonts w:ascii="Verdana" w:hAnsi="Verdana"/>
          <w:sz w:val="20"/>
          <w:szCs w:val="20"/>
        </w:rPr>
        <w:t xml:space="preserve"> </w:t>
      </w:r>
    </w:p>
    <w:p w:rsidR="003A634F" w:rsidRDefault="003A634F">
      <w:r>
        <w:br w:type="page"/>
      </w:r>
    </w:p>
    <w:p w:rsidR="00E46E37" w:rsidRDefault="00E46E37" w:rsidP="00D4547F">
      <w:pPr>
        <w:jc w:val="both"/>
      </w:pPr>
      <w:r>
        <w:t xml:space="preserve">D 3) </w:t>
      </w:r>
      <w:r w:rsidRPr="0076254E">
        <w:rPr>
          <w:u w:val="dotted"/>
        </w:rPr>
        <w:t xml:space="preserve">en </w:t>
      </w:r>
      <w:r>
        <w:rPr>
          <w:u w:val="dotted"/>
        </w:rPr>
        <w:t>production de viande bovine</w:t>
      </w:r>
    </w:p>
    <w:tbl>
      <w:tblPr>
        <w:tblW w:w="5000" w:type="pct"/>
        <w:tblCellMar>
          <w:left w:w="70" w:type="dxa"/>
          <w:right w:w="70" w:type="dxa"/>
        </w:tblCellMar>
        <w:tblLook w:val="04A0"/>
      </w:tblPr>
      <w:tblGrid>
        <w:gridCol w:w="2153"/>
        <w:gridCol w:w="682"/>
        <w:gridCol w:w="688"/>
        <w:gridCol w:w="689"/>
        <w:gridCol w:w="689"/>
        <w:gridCol w:w="689"/>
        <w:gridCol w:w="689"/>
        <w:gridCol w:w="689"/>
        <w:gridCol w:w="689"/>
        <w:gridCol w:w="639"/>
        <w:gridCol w:w="916"/>
      </w:tblGrid>
      <w:tr w:rsidR="002C17B8" w:rsidRPr="002C17B8" w:rsidTr="002C17B8">
        <w:trPr>
          <w:trHeight w:val="450"/>
        </w:trPr>
        <w:tc>
          <w:tcPr>
            <w:tcW w:w="789" w:type="pct"/>
            <w:tcBorders>
              <w:top w:val="nil"/>
              <w:left w:val="double" w:sz="6" w:space="0" w:color="auto"/>
              <w:bottom w:val="double" w:sz="6" w:space="0" w:color="auto"/>
              <w:right w:val="single" w:sz="8" w:space="0" w:color="auto"/>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 xml:space="preserve">Marge brute </w:t>
            </w:r>
            <w:proofErr w:type="gramStart"/>
            <w:r w:rsidRPr="002C17B8">
              <w:rPr>
                <w:rFonts w:ascii="Verdana" w:eastAsia="Times New Roman" w:hAnsi="Verdana" w:cs="Calibri"/>
                <w:color w:val="FFFFFF"/>
                <w:sz w:val="16"/>
                <w:szCs w:val="16"/>
                <w:lang w:eastAsia="fr-BE"/>
              </w:rPr>
              <w:t>viande</w:t>
            </w:r>
            <w:proofErr w:type="gramEnd"/>
            <w:r w:rsidRPr="002C17B8">
              <w:rPr>
                <w:rFonts w:ascii="Verdana" w:eastAsia="Times New Roman" w:hAnsi="Verdana" w:cs="Calibri"/>
                <w:color w:val="FFFFFF"/>
                <w:sz w:val="16"/>
                <w:szCs w:val="16"/>
                <w:lang w:eastAsia="fr-BE"/>
              </w:rPr>
              <w:br/>
              <w:t>(€ vache nourrice)</w:t>
            </w:r>
          </w:p>
        </w:tc>
        <w:tc>
          <w:tcPr>
            <w:tcW w:w="423"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2010</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2011</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2012</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2013</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2014</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2015</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2016</w:t>
            </w:r>
          </w:p>
        </w:tc>
        <w:tc>
          <w:tcPr>
            <w:tcW w:w="426" w:type="pct"/>
            <w:tcBorders>
              <w:top w:val="double" w:sz="6" w:space="0" w:color="auto"/>
              <w:left w:val="nil"/>
              <w:bottom w:val="double" w:sz="6" w:space="0" w:color="auto"/>
              <w:right w:val="nil"/>
            </w:tcBorders>
            <w:shd w:val="clear" w:color="000000" w:fill="808080"/>
            <w:noWrap/>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2017</w:t>
            </w:r>
          </w:p>
        </w:tc>
        <w:tc>
          <w:tcPr>
            <w:tcW w:w="399" w:type="pct"/>
            <w:tcBorders>
              <w:top w:val="double" w:sz="6" w:space="0" w:color="auto"/>
              <w:left w:val="nil"/>
              <w:bottom w:val="double" w:sz="6" w:space="0" w:color="auto"/>
              <w:right w:val="nil"/>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2C17B8">
              <w:rPr>
                <w:rFonts w:ascii="Verdana" w:eastAsia="Times New Roman" w:hAnsi="Verdana" w:cs="Calibri"/>
                <w:color w:val="FFFFFF"/>
                <w:sz w:val="16"/>
                <w:szCs w:val="16"/>
                <w:lang w:eastAsia="fr-BE"/>
              </w:rPr>
              <w:t>2018 prov</w:t>
            </w:r>
          </w:p>
        </w:tc>
        <w:tc>
          <w:tcPr>
            <w:tcW w:w="409" w:type="pct"/>
            <w:tcBorders>
              <w:top w:val="double" w:sz="6" w:space="0" w:color="auto"/>
              <w:left w:val="nil"/>
              <w:bottom w:val="double" w:sz="6" w:space="0" w:color="auto"/>
              <w:right w:val="double" w:sz="6" w:space="0" w:color="auto"/>
            </w:tcBorders>
            <w:shd w:val="clear" w:color="000000" w:fill="808080"/>
            <w:vAlign w:val="center"/>
            <w:hideMark/>
          </w:tcPr>
          <w:p w:rsidR="002C17B8" w:rsidRPr="002C17B8" w:rsidRDefault="002C17B8" w:rsidP="002C17B8">
            <w:pPr>
              <w:spacing w:after="0" w:line="240" w:lineRule="auto"/>
              <w:jc w:val="center"/>
              <w:rPr>
                <w:rFonts w:ascii="Verdana" w:eastAsia="Times New Roman" w:hAnsi="Verdana" w:cs="Calibri"/>
                <w:color w:val="FFFFFF"/>
                <w:sz w:val="16"/>
                <w:szCs w:val="16"/>
                <w:lang w:eastAsia="fr-BE"/>
              </w:rPr>
            </w:pPr>
            <w:r w:rsidRPr="003A634F">
              <w:rPr>
                <w:rFonts w:ascii="Verdana" w:eastAsia="Times New Roman" w:hAnsi="Verdana" w:cs="Calibri"/>
                <w:color w:val="FFFFFF"/>
                <w:sz w:val="14"/>
                <w:szCs w:val="14"/>
                <w:lang w:eastAsia="fr-BE"/>
              </w:rPr>
              <w:t>2017/2018</w:t>
            </w:r>
            <w:r w:rsidRPr="002C17B8">
              <w:rPr>
                <w:rFonts w:ascii="Verdana" w:eastAsia="Times New Roman" w:hAnsi="Verdana" w:cs="Calibri"/>
                <w:color w:val="FFFFFF"/>
                <w:sz w:val="16"/>
                <w:szCs w:val="16"/>
                <w:lang w:eastAsia="fr-BE"/>
              </w:rPr>
              <w:br/>
              <w:t>(%)</w:t>
            </w:r>
          </w:p>
        </w:tc>
      </w:tr>
      <w:tr w:rsidR="002C17B8" w:rsidRPr="002C17B8" w:rsidTr="002C17B8">
        <w:trPr>
          <w:trHeight w:val="315"/>
        </w:trPr>
        <w:tc>
          <w:tcPr>
            <w:tcW w:w="789" w:type="pct"/>
            <w:tcBorders>
              <w:top w:val="nil"/>
              <w:left w:val="double" w:sz="6" w:space="0" w:color="auto"/>
              <w:bottom w:val="nil"/>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Produits</w:t>
            </w:r>
          </w:p>
        </w:tc>
        <w:tc>
          <w:tcPr>
            <w:tcW w:w="423"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1242</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1310</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1282</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1374</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1403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1367</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1293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1144</w:t>
            </w:r>
          </w:p>
        </w:tc>
        <w:tc>
          <w:tcPr>
            <w:tcW w:w="399"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1211</w:t>
            </w:r>
          </w:p>
        </w:tc>
        <w:tc>
          <w:tcPr>
            <w:tcW w:w="409" w:type="pct"/>
            <w:tcBorders>
              <w:top w:val="nil"/>
              <w:left w:val="nil"/>
              <w:bottom w:val="nil"/>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w:t>
            </w:r>
          </w:p>
        </w:tc>
      </w:tr>
      <w:tr w:rsidR="002C17B8" w:rsidRPr="002C17B8" w:rsidTr="002C17B8">
        <w:trPr>
          <w:trHeight w:val="300"/>
        </w:trPr>
        <w:tc>
          <w:tcPr>
            <w:tcW w:w="789" w:type="pct"/>
            <w:tcBorders>
              <w:top w:val="nil"/>
              <w:left w:val="double" w:sz="6" w:space="0" w:color="auto"/>
              <w:bottom w:val="nil"/>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Charges opérationnelles</w:t>
            </w:r>
          </w:p>
        </w:tc>
        <w:tc>
          <w:tcPr>
            <w:tcW w:w="423"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685</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803</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791</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770</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718</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720</w:t>
            </w:r>
          </w:p>
        </w:tc>
        <w:tc>
          <w:tcPr>
            <w:tcW w:w="426" w:type="pct"/>
            <w:tcBorders>
              <w:top w:val="nil"/>
              <w:left w:val="nil"/>
              <w:bottom w:val="nil"/>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712</w:t>
            </w:r>
          </w:p>
        </w:tc>
        <w:tc>
          <w:tcPr>
            <w:tcW w:w="426"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725</w:t>
            </w:r>
          </w:p>
        </w:tc>
        <w:tc>
          <w:tcPr>
            <w:tcW w:w="399" w:type="pct"/>
            <w:tcBorders>
              <w:top w:val="nil"/>
              <w:left w:val="nil"/>
              <w:bottom w:val="nil"/>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737</w:t>
            </w:r>
          </w:p>
        </w:tc>
        <w:tc>
          <w:tcPr>
            <w:tcW w:w="409" w:type="pct"/>
            <w:tcBorders>
              <w:top w:val="nil"/>
              <w:left w:val="nil"/>
              <w:bottom w:val="nil"/>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2%</w:t>
            </w:r>
          </w:p>
        </w:tc>
      </w:tr>
      <w:tr w:rsidR="002C17B8" w:rsidRPr="002C17B8" w:rsidTr="002C17B8">
        <w:trPr>
          <w:trHeight w:val="315"/>
        </w:trPr>
        <w:tc>
          <w:tcPr>
            <w:tcW w:w="789" w:type="pct"/>
            <w:tcBorders>
              <w:top w:val="nil"/>
              <w:left w:val="double" w:sz="6" w:space="0" w:color="auto"/>
              <w:bottom w:val="double" w:sz="6" w:space="0" w:color="auto"/>
              <w:right w:val="single" w:sz="8" w:space="0" w:color="auto"/>
            </w:tcBorders>
            <w:shd w:val="clear" w:color="000000" w:fill="F2F2F2"/>
            <w:noWrap/>
            <w:vAlign w:val="bottom"/>
            <w:hideMark/>
          </w:tcPr>
          <w:p w:rsidR="002C17B8" w:rsidRPr="002C17B8" w:rsidRDefault="002C17B8" w:rsidP="002C17B8">
            <w:pPr>
              <w:spacing w:after="0" w:line="240" w:lineRule="auto"/>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Marge brute de la viande</w:t>
            </w:r>
          </w:p>
        </w:tc>
        <w:tc>
          <w:tcPr>
            <w:tcW w:w="423"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557</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507</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491</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604</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685</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647</w:t>
            </w:r>
          </w:p>
        </w:tc>
        <w:tc>
          <w:tcPr>
            <w:tcW w:w="426" w:type="pct"/>
            <w:tcBorders>
              <w:top w:val="nil"/>
              <w:left w:val="nil"/>
              <w:bottom w:val="double" w:sz="6" w:space="0" w:color="auto"/>
              <w:right w:val="nil"/>
            </w:tcBorders>
            <w:shd w:val="clear" w:color="auto" w:fill="auto"/>
            <w:noWrap/>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581</w:t>
            </w:r>
          </w:p>
        </w:tc>
        <w:tc>
          <w:tcPr>
            <w:tcW w:w="426" w:type="pct"/>
            <w:tcBorders>
              <w:top w:val="nil"/>
              <w:left w:val="nil"/>
              <w:bottom w:val="double" w:sz="6" w:space="0" w:color="auto"/>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419</w:t>
            </w:r>
          </w:p>
        </w:tc>
        <w:tc>
          <w:tcPr>
            <w:tcW w:w="399" w:type="pct"/>
            <w:tcBorders>
              <w:top w:val="nil"/>
              <w:left w:val="nil"/>
              <w:bottom w:val="double" w:sz="6" w:space="0" w:color="auto"/>
              <w:right w:val="nil"/>
            </w:tcBorders>
            <w:shd w:val="clear" w:color="auto" w:fill="auto"/>
            <w:vAlign w:val="center"/>
            <w:hideMark/>
          </w:tcPr>
          <w:p w:rsidR="002C17B8" w:rsidRPr="002C17B8" w:rsidRDefault="002C17B8" w:rsidP="002C17B8">
            <w:pPr>
              <w:spacing w:after="0" w:line="240" w:lineRule="auto"/>
              <w:jc w:val="center"/>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474</w:t>
            </w:r>
          </w:p>
        </w:tc>
        <w:tc>
          <w:tcPr>
            <w:tcW w:w="409" w:type="pct"/>
            <w:tcBorders>
              <w:top w:val="nil"/>
              <w:left w:val="nil"/>
              <w:bottom w:val="double" w:sz="6" w:space="0" w:color="auto"/>
              <w:right w:val="double" w:sz="6" w:space="0" w:color="auto"/>
            </w:tcBorders>
            <w:shd w:val="clear" w:color="auto" w:fill="auto"/>
            <w:vAlign w:val="center"/>
            <w:hideMark/>
          </w:tcPr>
          <w:p w:rsidR="002C17B8" w:rsidRPr="002C17B8" w:rsidRDefault="002C17B8" w:rsidP="002C17B8">
            <w:pPr>
              <w:spacing w:after="0" w:line="240" w:lineRule="auto"/>
              <w:jc w:val="right"/>
              <w:rPr>
                <w:rFonts w:ascii="Verdana" w:eastAsia="Times New Roman" w:hAnsi="Verdana" w:cs="Calibri"/>
                <w:color w:val="000000"/>
                <w:sz w:val="16"/>
                <w:szCs w:val="16"/>
                <w:lang w:eastAsia="fr-BE"/>
              </w:rPr>
            </w:pPr>
            <w:r w:rsidRPr="002C17B8">
              <w:rPr>
                <w:rFonts w:ascii="Verdana" w:eastAsia="Times New Roman" w:hAnsi="Verdana" w:cs="Calibri"/>
                <w:color w:val="000000"/>
                <w:sz w:val="16"/>
                <w:szCs w:val="16"/>
                <w:lang w:eastAsia="fr-BE"/>
              </w:rPr>
              <w:t>13%</w:t>
            </w:r>
          </w:p>
        </w:tc>
      </w:tr>
    </w:tbl>
    <w:p w:rsidR="00E46E37" w:rsidRDefault="00E46E37" w:rsidP="004C5D97">
      <w:pPr>
        <w:jc w:val="both"/>
      </w:pPr>
    </w:p>
    <w:p w:rsidR="00D4547F" w:rsidRDefault="000D7F06" w:rsidP="00D4547F">
      <w:pPr>
        <w:keepNext/>
        <w:jc w:val="both"/>
      </w:pPr>
      <w:r>
        <w:rPr>
          <w:noProof/>
          <w:lang w:eastAsia="fr-BE"/>
        </w:rPr>
        <w:drawing>
          <wp:inline distT="0" distB="0" distL="0" distR="0">
            <wp:extent cx="5586013" cy="2210462"/>
            <wp:effectExtent l="19050" t="0" r="14687" b="0"/>
            <wp:docPr id="3" name="Graphique 3">
              <a:extLst xmlns:a="http://schemas.openxmlformats.org/drawingml/2006/main">
                <a:ext uri="{FF2B5EF4-FFF2-40B4-BE49-F238E27FC236}">
                  <a16:creationId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6="http://schemas.microsoft.com/office/drawing/2014/main" id="{EE0A214C-B1FF-437C-98B9-B029D0A98B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46E37" w:rsidRDefault="00D4547F" w:rsidP="00D4547F">
      <w:pPr>
        <w:pStyle w:val="Lgende"/>
        <w:jc w:val="both"/>
      </w:pPr>
      <w:r>
        <w:t xml:space="preserve">Figure </w:t>
      </w:r>
      <w:r w:rsidR="004C6795">
        <w:rPr>
          <w:noProof/>
        </w:rPr>
        <w:fldChar w:fldCharType="begin"/>
      </w:r>
      <w:r w:rsidR="00CB3414">
        <w:rPr>
          <w:noProof/>
        </w:rPr>
        <w:instrText xml:space="preserve"> SEQ Figure \* ARABIC </w:instrText>
      </w:r>
      <w:r w:rsidR="004C6795">
        <w:rPr>
          <w:noProof/>
        </w:rPr>
        <w:fldChar w:fldCharType="separate"/>
      </w:r>
      <w:r w:rsidR="008E4213">
        <w:rPr>
          <w:noProof/>
        </w:rPr>
        <w:t>7</w:t>
      </w:r>
      <w:r w:rsidR="004C6795">
        <w:rPr>
          <w:noProof/>
        </w:rPr>
        <w:fldChar w:fldCharType="end"/>
      </w:r>
      <w:r>
        <w:t xml:space="preserve"> Marge brute bovins viandeux en €/</w:t>
      </w:r>
      <w:r w:rsidR="000D7F06">
        <w:t>vache</w:t>
      </w:r>
    </w:p>
    <w:p w:rsidR="000C7355" w:rsidRPr="003A634F" w:rsidRDefault="000C7355" w:rsidP="00B640DA">
      <w:pPr>
        <w:spacing w:before="240"/>
        <w:jc w:val="both"/>
        <w:rPr>
          <w:rFonts w:ascii="Verdana" w:hAnsi="Verdana"/>
          <w:sz w:val="20"/>
          <w:szCs w:val="20"/>
        </w:rPr>
      </w:pPr>
      <w:r w:rsidRPr="003A634F">
        <w:rPr>
          <w:rFonts w:ascii="Verdana" w:hAnsi="Verdana"/>
          <w:sz w:val="20"/>
          <w:szCs w:val="20"/>
        </w:rPr>
        <w:t>Ainsi que l</w:t>
      </w:r>
      <w:r w:rsidR="00B640DA" w:rsidRPr="003A634F">
        <w:rPr>
          <w:rFonts w:ascii="Verdana" w:hAnsi="Verdana"/>
          <w:sz w:val="20"/>
          <w:szCs w:val="20"/>
        </w:rPr>
        <w:t>e</w:t>
      </w:r>
      <w:r w:rsidRPr="003A634F">
        <w:rPr>
          <w:rFonts w:ascii="Verdana" w:hAnsi="Verdana"/>
          <w:sz w:val="20"/>
          <w:szCs w:val="20"/>
        </w:rPr>
        <w:t xml:space="preserve"> f</w:t>
      </w:r>
      <w:r w:rsidR="00B640DA" w:rsidRPr="003A634F">
        <w:rPr>
          <w:rFonts w:ascii="Verdana" w:hAnsi="Verdana"/>
          <w:sz w:val="20"/>
          <w:szCs w:val="20"/>
        </w:rPr>
        <w:t>on</w:t>
      </w:r>
      <w:r w:rsidRPr="003A634F">
        <w:rPr>
          <w:rFonts w:ascii="Verdana" w:hAnsi="Verdana"/>
          <w:sz w:val="20"/>
          <w:szCs w:val="20"/>
        </w:rPr>
        <w:t>t apparaître, l</w:t>
      </w:r>
      <w:r w:rsidR="00B640DA" w:rsidRPr="003A634F">
        <w:rPr>
          <w:rFonts w:ascii="Verdana" w:hAnsi="Verdana"/>
          <w:sz w:val="20"/>
          <w:szCs w:val="20"/>
        </w:rPr>
        <w:t>e</w:t>
      </w:r>
      <w:r w:rsidRPr="003A634F">
        <w:rPr>
          <w:rFonts w:ascii="Verdana" w:hAnsi="Verdana"/>
          <w:sz w:val="20"/>
          <w:szCs w:val="20"/>
        </w:rPr>
        <w:t xml:space="preserve"> </w:t>
      </w:r>
      <w:r w:rsidR="00B640DA" w:rsidRPr="003A634F">
        <w:rPr>
          <w:rFonts w:ascii="Verdana" w:hAnsi="Verdana"/>
          <w:sz w:val="20"/>
          <w:szCs w:val="20"/>
        </w:rPr>
        <w:t>tableau</w:t>
      </w:r>
      <w:r w:rsidRPr="003A634F">
        <w:rPr>
          <w:rFonts w:ascii="Verdana" w:hAnsi="Verdana"/>
          <w:sz w:val="20"/>
          <w:szCs w:val="20"/>
        </w:rPr>
        <w:t xml:space="preserve"> </w:t>
      </w:r>
      <w:r w:rsidR="00B640DA" w:rsidRPr="003A634F">
        <w:rPr>
          <w:rFonts w:ascii="Verdana" w:hAnsi="Verdana"/>
          <w:sz w:val="20"/>
          <w:szCs w:val="20"/>
        </w:rPr>
        <w:t xml:space="preserve">et la figure </w:t>
      </w:r>
      <w:r w:rsidRPr="003A634F">
        <w:rPr>
          <w:rFonts w:ascii="Verdana" w:hAnsi="Verdana"/>
          <w:sz w:val="20"/>
          <w:szCs w:val="20"/>
        </w:rPr>
        <w:t xml:space="preserve">ci-dessus, 2017 </w:t>
      </w:r>
      <w:r w:rsidR="00B640DA" w:rsidRPr="003A634F">
        <w:rPr>
          <w:rFonts w:ascii="Verdana" w:hAnsi="Verdana"/>
          <w:sz w:val="20"/>
          <w:szCs w:val="20"/>
        </w:rPr>
        <w:t xml:space="preserve">est incontestablement </w:t>
      </w:r>
      <w:r w:rsidR="003A634F">
        <w:rPr>
          <w:rFonts w:ascii="Verdana" w:hAnsi="Verdana"/>
          <w:sz w:val="20"/>
          <w:szCs w:val="20"/>
        </w:rPr>
        <w:t xml:space="preserve">et jusqu’à présent </w:t>
      </w:r>
      <w:r w:rsidRPr="003A634F">
        <w:rPr>
          <w:rFonts w:ascii="Verdana" w:hAnsi="Verdana"/>
          <w:sz w:val="20"/>
          <w:szCs w:val="20"/>
        </w:rPr>
        <w:t>l</w:t>
      </w:r>
      <w:r w:rsidR="00B640DA" w:rsidRPr="003A634F">
        <w:rPr>
          <w:rFonts w:ascii="Verdana" w:hAnsi="Verdana"/>
          <w:sz w:val="20"/>
          <w:szCs w:val="20"/>
        </w:rPr>
        <w:t>a</w:t>
      </w:r>
      <w:r w:rsidRPr="003A634F">
        <w:rPr>
          <w:rFonts w:ascii="Verdana" w:hAnsi="Verdana"/>
          <w:sz w:val="20"/>
          <w:szCs w:val="20"/>
        </w:rPr>
        <w:t xml:space="preserve"> plus mauvaise année de la période 20</w:t>
      </w:r>
      <w:r w:rsidR="00B640DA" w:rsidRPr="003A634F">
        <w:rPr>
          <w:rFonts w:ascii="Verdana" w:hAnsi="Verdana"/>
          <w:sz w:val="20"/>
          <w:szCs w:val="20"/>
        </w:rPr>
        <w:t>1</w:t>
      </w:r>
      <w:r w:rsidRPr="003A634F">
        <w:rPr>
          <w:rFonts w:ascii="Verdana" w:hAnsi="Verdana"/>
          <w:sz w:val="20"/>
          <w:szCs w:val="20"/>
        </w:rPr>
        <w:t>0-201</w:t>
      </w:r>
      <w:r w:rsidR="00050BE3" w:rsidRPr="003A634F">
        <w:rPr>
          <w:rFonts w:ascii="Verdana" w:hAnsi="Verdana"/>
          <w:sz w:val="20"/>
          <w:szCs w:val="20"/>
        </w:rPr>
        <w:t>8</w:t>
      </w:r>
      <w:r w:rsidRPr="003A634F">
        <w:rPr>
          <w:rFonts w:ascii="Verdana" w:hAnsi="Verdana"/>
          <w:sz w:val="20"/>
          <w:szCs w:val="20"/>
        </w:rPr>
        <w:t xml:space="preserve"> en ce qui concerne </w:t>
      </w:r>
      <w:r w:rsidR="003A634F" w:rsidRPr="003A634F">
        <w:rPr>
          <w:rFonts w:ascii="Verdana" w:hAnsi="Verdana"/>
          <w:sz w:val="20"/>
          <w:szCs w:val="20"/>
        </w:rPr>
        <w:t xml:space="preserve">tant </w:t>
      </w:r>
      <w:r w:rsidRPr="003A634F">
        <w:rPr>
          <w:rFonts w:ascii="Verdana" w:hAnsi="Verdana"/>
          <w:sz w:val="20"/>
          <w:szCs w:val="20"/>
        </w:rPr>
        <w:t>les produits bovins (</w:t>
      </w:r>
      <w:r w:rsidRPr="003A634F">
        <w:rPr>
          <w:rFonts w:ascii="Verdana" w:hAnsi="Verdana"/>
          <w:sz w:val="16"/>
          <w:szCs w:val="16"/>
        </w:rPr>
        <w:t>tableau</w:t>
      </w:r>
      <w:r w:rsidRPr="003A634F">
        <w:rPr>
          <w:rFonts w:ascii="Verdana" w:hAnsi="Verdana"/>
          <w:sz w:val="20"/>
          <w:szCs w:val="20"/>
        </w:rPr>
        <w:t xml:space="preserve">) </w:t>
      </w:r>
      <w:r w:rsidR="003A634F" w:rsidRPr="003A634F">
        <w:rPr>
          <w:rFonts w:ascii="Verdana" w:hAnsi="Verdana"/>
          <w:sz w:val="20"/>
          <w:szCs w:val="20"/>
        </w:rPr>
        <w:t xml:space="preserve">que </w:t>
      </w:r>
      <w:r w:rsidRPr="003A634F">
        <w:rPr>
          <w:rFonts w:ascii="Verdana" w:hAnsi="Verdana"/>
          <w:sz w:val="20"/>
          <w:szCs w:val="20"/>
        </w:rPr>
        <w:t xml:space="preserve">la marge brute exprimée par </w:t>
      </w:r>
      <w:r w:rsidR="00050BE3" w:rsidRPr="003A634F">
        <w:rPr>
          <w:rFonts w:ascii="Verdana" w:hAnsi="Verdana"/>
          <w:sz w:val="20"/>
          <w:szCs w:val="20"/>
        </w:rPr>
        <w:t>vache</w:t>
      </w:r>
      <w:r w:rsidRPr="003A634F">
        <w:rPr>
          <w:rFonts w:ascii="Verdana" w:hAnsi="Verdana"/>
          <w:sz w:val="20"/>
          <w:szCs w:val="20"/>
        </w:rPr>
        <w:t xml:space="preserve"> (</w:t>
      </w:r>
      <w:r w:rsidRPr="003A634F">
        <w:rPr>
          <w:rFonts w:ascii="Verdana" w:hAnsi="Verdana"/>
          <w:sz w:val="16"/>
          <w:szCs w:val="16"/>
        </w:rPr>
        <w:t>tableau et figure</w:t>
      </w:r>
      <w:r w:rsidRPr="003A634F">
        <w:rPr>
          <w:rFonts w:ascii="Verdana" w:hAnsi="Verdana"/>
          <w:sz w:val="20"/>
          <w:szCs w:val="20"/>
        </w:rPr>
        <w:t xml:space="preserve">). </w:t>
      </w:r>
      <w:r w:rsidR="000D7F06" w:rsidRPr="003A634F">
        <w:rPr>
          <w:rFonts w:ascii="Verdana" w:hAnsi="Verdana"/>
          <w:sz w:val="20"/>
          <w:szCs w:val="20"/>
        </w:rPr>
        <w:t>L’année 2018 semble montrer une légère embellie</w:t>
      </w:r>
      <w:r w:rsidR="00713619" w:rsidRPr="003A634F">
        <w:rPr>
          <w:rFonts w:ascii="Verdana" w:hAnsi="Verdana"/>
          <w:sz w:val="20"/>
          <w:szCs w:val="20"/>
        </w:rPr>
        <w:t xml:space="preserve"> </w:t>
      </w:r>
      <w:r w:rsidR="003A634F">
        <w:rPr>
          <w:rFonts w:ascii="Verdana" w:hAnsi="Verdana"/>
          <w:sz w:val="20"/>
          <w:szCs w:val="20"/>
        </w:rPr>
        <w:t xml:space="preserve">par rapport à l’année précédente </w:t>
      </w:r>
      <w:r w:rsidR="00713619" w:rsidRPr="003A634F">
        <w:rPr>
          <w:rFonts w:ascii="Verdana" w:hAnsi="Verdana"/>
          <w:sz w:val="20"/>
          <w:szCs w:val="20"/>
        </w:rPr>
        <w:t>principalement grâce à de meilleurs résultats techniques (</w:t>
      </w:r>
      <w:r w:rsidR="00713619" w:rsidRPr="003A634F">
        <w:rPr>
          <w:rFonts w:ascii="Verdana" w:hAnsi="Verdana"/>
          <w:sz w:val="16"/>
          <w:szCs w:val="16"/>
        </w:rPr>
        <w:t>plus grande viabilité des veaux et moins de mortalité</w:t>
      </w:r>
      <w:r w:rsidR="00713619" w:rsidRPr="003A634F">
        <w:rPr>
          <w:rFonts w:ascii="Verdana" w:hAnsi="Verdana"/>
          <w:sz w:val="20"/>
          <w:szCs w:val="20"/>
        </w:rPr>
        <w:t>)</w:t>
      </w:r>
      <w:r w:rsidR="000D1D81" w:rsidRPr="003A634F">
        <w:rPr>
          <w:rFonts w:ascii="Verdana" w:hAnsi="Verdana"/>
          <w:sz w:val="20"/>
          <w:szCs w:val="20"/>
        </w:rPr>
        <w:t>, les prix ayant peu évolué.</w:t>
      </w:r>
      <w:r w:rsidR="000D7F06" w:rsidRPr="003A634F">
        <w:rPr>
          <w:rFonts w:ascii="Verdana" w:hAnsi="Verdana"/>
          <w:sz w:val="20"/>
          <w:szCs w:val="20"/>
        </w:rPr>
        <w:t xml:space="preserve"> </w:t>
      </w:r>
      <w:r w:rsidR="00E72808">
        <w:rPr>
          <w:rFonts w:ascii="Verdana" w:hAnsi="Verdana"/>
          <w:sz w:val="20"/>
          <w:szCs w:val="20"/>
        </w:rPr>
        <w:t>Toutefois, le poids des charges dans le produit</w:t>
      </w:r>
      <w:r w:rsidR="00CF3AAE">
        <w:rPr>
          <w:rFonts w:ascii="Verdana" w:hAnsi="Verdana"/>
          <w:sz w:val="20"/>
          <w:szCs w:val="20"/>
        </w:rPr>
        <w:t>, quoique allégé par rapport à l’année précédente,</w:t>
      </w:r>
      <w:r w:rsidR="00E72808">
        <w:rPr>
          <w:rFonts w:ascii="Verdana" w:hAnsi="Verdana"/>
          <w:sz w:val="20"/>
          <w:szCs w:val="20"/>
        </w:rPr>
        <w:t xml:space="preserve"> reste fort élevé (</w:t>
      </w:r>
      <w:r w:rsidR="00E72808" w:rsidRPr="00CF3AAE">
        <w:rPr>
          <w:rFonts w:ascii="Verdana" w:hAnsi="Verdana"/>
          <w:sz w:val="16"/>
          <w:szCs w:val="16"/>
        </w:rPr>
        <w:t>près de 61%</w:t>
      </w:r>
      <w:r w:rsidR="00E72808">
        <w:rPr>
          <w:rFonts w:ascii="Verdana" w:hAnsi="Verdana"/>
          <w:sz w:val="20"/>
          <w:szCs w:val="20"/>
        </w:rPr>
        <w:t>)</w:t>
      </w:r>
      <w:r w:rsidR="00CF3AAE">
        <w:rPr>
          <w:rFonts w:ascii="Verdana" w:hAnsi="Verdana"/>
          <w:sz w:val="20"/>
          <w:szCs w:val="20"/>
        </w:rPr>
        <w:t xml:space="preserve">, ce qui plombe la marge brute. </w:t>
      </w:r>
      <w:r w:rsidR="000D1D81" w:rsidRPr="003A634F">
        <w:rPr>
          <w:rFonts w:ascii="Verdana" w:hAnsi="Verdana"/>
          <w:sz w:val="20"/>
          <w:szCs w:val="20"/>
        </w:rPr>
        <w:t xml:space="preserve">En effet, </w:t>
      </w:r>
      <w:r w:rsidR="00CF3AAE">
        <w:rPr>
          <w:rFonts w:ascii="Verdana" w:hAnsi="Verdana"/>
          <w:sz w:val="20"/>
          <w:szCs w:val="20"/>
        </w:rPr>
        <w:t>cette dernière est parmi les trois plus mauvaises de la décennie en cours.</w:t>
      </w:r>
    </w:p>
    <w:p w:rsidR="00BA505B" w:rsidRPr="003A634F" w:rsidRDefault="00BA505B" w:rsidP="00BA505B">
      <w:pPr>
        <w:spacing w:after="0"/>
        <w:jc w:val="both"/>
        <w:rPr>
          <w:rFonts w:ascii="Verdana" w:hAnsi="Verdana"/>
          <w:sz w:val="20"/>
          <w:szCs w:val="20"/>
        </w:rPr>
      </w:pPr>
      <w:r w:rsidRPr="003A634F">
        <w:rPr>
          <w:rFonts w:ascii="Verdana" w:hAnsi="Verdana"/>
          <w:sz w:val="20"/>
          <w:szCs w:val="20"/>
        </w:rPr>
        <w:t>La présente brochure est téléchargeable sur le portail de l’agriculture de Wallonie :</w:t>
      </w:r>
    </w:p>
    <w:p w:rsidR="00BA505B" w:rsidRPr="003A634F" w:rsidRDefault="004C6795" w:rsidP="004C5D97">
      <w:pPr>
        <w:jc w:val="both"/>
        <w:rPr>
          <w:rFonts w:ascii="Verdana" w:hAnsi="Verdana"/>
          <w:sz w:val="20"/>
          <w:szCs w:val="20"/>
        </w:rPr>
      </w:pPr>
      <w:hyperlink r:id="rId15" w:history="1">
        <w:r w:rsidR="00BA505B" w:rsidRPr="003A634F">
          <w:rPr>
            <w:rStyle w:val="Lienhypertexte"/>
            <w:rFonts w:ascii="Verdana" w:hAnsi="Verdana"/>
            <w:sz w:val="20"/>
            <w:szCs w:val="20"/>
          </w:rPr>
          <w:t>https://agriculture.wallonie.be/economie-agricole-wallonne</w:t>
        </w:r>
      </w:hyperlink>
    </w:p>
    <w:sectPr w:rsidR="00BA505B" w:rsidRPr="003A634F" w:rsidSect="00A14377">
      <w:footerReference w:type="default" r:id="rId16"/>
      <w:headerReference w:type="first" r:id="rId17"/>
      <w:pgSz w:w="11906" w:h="16838"/>
      <w:pgMar w:top="1417" w:right="1417" w:bottom="1417" w:left="1417" w:header="708" w:footer="1821" w:gutter="0"/>
      <w:cols w:space="708"/>
      <w:titlePg/>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2EBB2C48" w15:done="0"/>
  <w15:commentEx w15:paraId="1E56134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EBB2C48" w16cid:durableId="20DAFCB5"/>
  <w16cid:commentId w16cid:paraId="1E56134F" w16cid:durableId="20DC1EAB"/>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82697" w:rsidRDefault="00382697" w:rsidP="007A0111">
      <w:pPr>
        <w:spacing w:after="0" w:line="240" w:lineRule="auto"/>
      </w:pPr>
      <w:r>
        <w:separator/>
      </w:r>
    </w:p>
  </w:endnote>
  <w:endnote w:type="continuationSeparator" w:id="0">
    <w:p w:rsidR="00382697" w:rsidRDefault="00382697" w:rsidP="007A01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Verdana,Bold">
    <w:altName w:val="Verdana"/>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484806"/>
      <w:docPartObj>
        <w:docPartGallery w:val="Page Numbers (Bottom of Page)"/>
        <w:docPartUnique/>
      </w:docPartObj>
    </w:sdtPr>
    <w:sdtContent>
      <w:p w:rsidR="00382697" w:rsidRDefault="00382697" w:rsidP="00413958">
        <w:pPr>
          <w:pStyle w:val="Pieddepage"/>
          <w:ind w:left="-993"/>
        </w:pPr>
        <w:r>
          <w:rPr>
            <w:noProof/>
            <w:lang w:eastAsia="fr-BE"/>
          </w:rPr>
          <w:drawing>
            <wp:inline distT="0" distB="0" distL="0" distR="0">
              <wp:extent cx="1560830" cy="685800"/>
              <wp:effectExtent l="19050" t="0" r="1270" b="0"/>
              <wp:docPr id="4" name="Image 3" descr="spw_agr_f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w_agr_fr.jpg"/>
                      <pic:cNvPicPr/>
                    </pic:nvPicPr>
                    <pic:blipFill>
                      <a:blip r:embed="rId1"/>
                      <a:srcRect b="16279"/>
                      <a:stretch>
                        <a:fillRect/>
                      </a:stretch>
                    </pic:blipFill>
                    <pic:spPr>
                      <a:xfrm>
                        <a:off x="0" y="0"/>
                        <a:ext cx="1560830" cy="685800"/>
                      </a:xfrm>
                      <a:prstGeom prst="rect">
                        <a:avLst/>
                      </a:prstGeom>
                    </pic:spPr>
                  </pic:pic>
                </a:graphicData>
              </a:graphic>
            </wp:inline>
          </w:drawing>
        </w:r>
        <w:r w:rsidR="004C6795" w:rsidRPr="004C6795">
          <w:rPr>
            <w:noProof/>
            <w:lang w:val="fr-FR" w:eastAsia="zh-TW"/>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2049" type="#_x0000_t65" style="position:absolute;left:0;text-align:left;margin-left:0;margin-top:664.5pt;width:29pt;height:21.6pt;z-index:251660288;mso-top-percent:70;mso-position-horizontal:left;mso-position-horizontal-relative:right-margin-area;mso-position-vertical-relative:bottom-margin-area;mso-top-percent:70" o:allowincell="f" adj="14135" strokecolor="gray [1629]" strokeweight=".25pt">
              <v:textbox style="mso-next-textbox:#_x0000_s2049">
                <w:txbxContent>
                  <w:p w:rsidR="00382697" w:rsidRDefault="004C6795">
                    <w:pPr>
                      <w:jc w:val="center"/>
                      <w:rPr>
                        <w:lang w:val="fr-FR"/>
                      </w:rPr>
                    </w:pPr>
                    <w:r>
                      <w:rPr>
                        <w:lang w:val="fr-FR"/>
                      </w:rPr>
                      <w:fldChar w:fldCharType="begin"/>
                    </w:r>
                    <w:r w:rsidR="00382697">
                      <w:rPr>
                        <w:lang w:val="fr-FR"/>
                      </w:rPr>
                      <w:instrText xml:space="preserve"> PAGE    \* MERGEFORMAT </w:instrText>
                    </w:r>
                    <w:r>
                      <w:rPr>
                        <w:lang w:val="fr-FR"/>
                      </w:rPr>
                      <w:fldChar w:fldCharType="separate"/>
                    </w:r>
                    <w:r w:rsidR="00FA66A1" w:rsidRPr="00FA66A1">
                      <w:rPr>
                        <w:noProof/>
                        <w:sz w:val="16"/>
                        <w:szCs w:val="16"/>
                      </w:rPr>
                      <w:t>8</w:t>
                    </w:r>
                    <w:r>
                      <w:rPr>
                        <w:lang w:val="fr-FR"/>
                      </w:rPr>
                      <w:fldChar w:fldCharType="end"/>
                    </w:r>
                  </w:p>
                </w:txbxContent>
              </v:textbox>
              <w10:wrap anchorx="page" anchory="page"/>
            </v:shape>
          </w:pict>
        </w:r>
        <w:r>
          <w:t xml:space="preserve"> </w:t>
        </w:r>
        <w:r>
          <w:rPr>
            <w:b/>
            <w:szCs w:val="18"/>
          </w:rPr>
          <w:t>S</w:t>
        </w:r>
        <w:r w:rsidRPr="007F0FEF">
          <w:rPr>
            <w:b/>
            <w:szCs w:val="18"/>
          </w:rPr>
          <w:t xml:space="preserve">ervice public de Wallonie </w:t>
        </w:r>
        <w:r w:rsidRPr="007F0FEF">
          <w:rPr>
            <w:b/>
            <w:color w:val="92D050"/>
            <w:szCs w:val="18"/>
          </w:rPr>
          <w:t>agriculture ressources naturelles environnement</w: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82697" w:rsidRDefault="00382697" w:rsidP="007A0111">
      <w:pPr>
        <w:spacing w:after="0" w:line="240" w:lineRule="auto"/>
      </w:pPr>
      <w:r>
        <w:separator/>
      </w:r>
    </w:p>
  </w:footnote>
  <w:footnote w:type="continuationSeparator" w:id="0">
    <w:p w:rsidR="00382697" w:rsidRDefault="00382697" w:rsidP="007A0111">
      <w:pPr>
        <w:spacing w:after="0" w:line="240" w:lineRule="auto"/>
      </w:pPr>
      <w:r>
        <w:continuationSeparator/>
      </w:r>
    </w:p>
  </w:footnote>
  <w:footnote w:id="1">
    <w:p w:rsidR="00382697" w:rsidRDefault="00382697" w:rsidP="00C32DA1">
      <w:pPr>
        <w:pStyle w:val="Notedebasdepage"/>
      </w:pPr>
      <w:r>
        <w:rPr>
          <w:rStyle w:val="Appelnotedebasdep"/>
        </w:rPr>
        <w:footnoteRef/>
      </w:r>
      <w:r>
        <w:t xml:space="preserve"> OTE = orientation technico-économique. DIMENSION = taille économique de l’exploitation exprimée en € de production brute standard. La production brute standard d’une activité est la valeur moyenne exprimée en € produite par cette activité. Par exemple un hectare de froment dégage une production brute standard de 1 857 €/ha </w:t>
      </w:r>
      <w:r w:rsidRPr="00C32DA1">
        <w:rPr>
          <w:sz w:val="18"/>
          <w:szCs w:val="18"/>
        </w:rPr>
        <w:t>(production brute standard centrée sur les années 20</w:t>
      </w:r>
      <w:r>
        <w:rPr>
          <w:sz w:val="18"/>
          <w:szCs w:val="18"/>
        </w:rPr>
        <w:t>11</w:t>
      </w:r>
      <w:r w:rsidRPr="00C32DA1">
        <w:rPr>
          <w:sz w:val="18"/>
          <w:szCs w:val="18"/>
        </w:rPr>
        <w:t xml:space="preserve"> à 201</w:t>
      </w:r>
      <w:r>
        <w:rPr>
          <w:sz w:val="18"/>
          <w:szCs w:val="18"/>
        </w:rPr>
        <w:t>5, </w:t>
      </w:r>
      <w:r w:rsidRPr="00C32DA1">
        <w:rPr>
          <w:sz w:val="18"/>
          <w:szCs w:val="18"/>
        </w:rPr>
        <w:t>utilisé</w:t>
      </w:r>
      <w:r>
        <w:rPr>
          <w:sz w:val="18"/>
          <w:szCs w:val="18"/>
        </w:rPr>
        <w:t>e</w:t>
      </w:r>
      <w:r w:rsidRPr="00C32DA1">
        <w:rPr>
          <w:sz w:val="18"/>
          <w:szCs w:val="18"/>
        </w:rPr>
        <w:t xml:space="preserve"> par et pour la Commission européenne à </w:t>
      </w:r>
      <w:r>
        <w:rPr>
          <w:sz w:val="18"/>
          <w:szCs w:val="18"/>
        </w:rPr>
        <w:t xml:space="preserve">partir de </w:t>
      </w:r>
      <w:r w:rsidRPr="00C32DA1">
        <w:rPr>
          <w:sz w:val="18"/>
          <w:szCs w:val="18"/>
        </w:rPr>
        <w:t>l’ex</w:t>
      </w:r>
      <w:r>
        <w:rPr>
          <w:sz w:val="18"/>
          <w:szCs w:val="18"/>
        </w:rPr>
        <w:t>er</w:t>
      </w:r>
      <w:r w:rsidRPr="00C32DA1">
        <w:rPr>
          <w:sz w:val="18"/>
          <w:szCs w:val="18"/>
        </w:rPr>
        <w:t>cice comptable 201</w:t>
      </w:r>
      <w:r>
        <w:rPr>
          <w:sz w:val="18"/>
          <w:szCs w:val="18"/>
        </w:rPr>
        <w:t>6)</w:t>
      </w:r>
      <w:r>
        <w:t>.</w:t>
      </w:r>
    </w:p>
  </w:footnote>
  <w:footnote w:id="2">
    <w:p w:rsidR="00382697" w:rsidRDefault="00382697" w:rsidP="00D771CF">
      <w:pPr>
        <w:pStyle w:val="Notedebasdepage"/>
      </w:pPr>
      <w:r>
        <w:rPr>
          <w:rStyle w:val="Appelnotedebasdep"/>
        </w:rPr>
        <w:footnoteRef/>
      </w:r>
      <w:r>
        <w:t xml:space="preserve"> Le revenu du travail (RT) est un concept créé au début des années 1960 notamment pour comparer l’agriculture aux autres secteurs de l’activité économique. Il a été et est encore largement utilisé. Le RT est obtenu en imputant une rémunération forfaitaire, de même niveau pour toutes les exploitations, au capital (actif) sans tenir compte des sources de financement et de la situation de propriétaire et/ou de locataire des exploitants.</w:t>
      </w:r>
    </w:p>
  </w:footnote>
  <w:footnote w:id="3">
    <w:p w:rsidR="00382697" w:rsidRDefault="00382697" w:rsidP="00D771CF">
      <w:pPr>
        <w:pStyle w:val="Notedebasdepage"/>
      </w:pPr>
      <w:r>
        <w:rPr>
          <w:rStyle w:val="Appelnotedebasdep"/>
        </w:rPr>
        <w:footnoteRef/>
      </w:r>
      <w:r>
        <w:t xml:space="preserve"> Le revenu du travail et du capital (RTCF) est différent du RT dans la mesure où on observe les produits et les charges réelles de l’exploitation agricole. Ce qui reste après avoir retranché les charges des produits est un montant que l’on espère positif qui servira à rémunérer le personnel non salarié de l’exploitation ainsi que le capital qui a été investi par l’exploitant et sa famille.</w:t>
      </w:r>
    </w:p>
  </w:footnote>
  <w:footnote w:id="4">
    <w:p w:rsidR="00382697" w:rsidRDefault="00382697" w:rsidP="008D2646">
      <w:pPr>
        <w:pStyle w:val="Notedebasdepage"/>
      </w:pPr>
      <w:r>
        <w:rPr>
          <w:rStyle w:val="Appelnotedebasdep"/>
        </w:rPr>
        <w:footnoteRef/>
      </w:r>
      <w:r>
        <w:t xml:space="preserve">  Ces rapports publiés notamment en format électronique sont téléchargeables sur le portail de l’agriculture wallonne : </w:t>
      </w:r>
      <w:hyperlink r:id="rId1" w:history="1">
        <w:r w:rsidRPr="00E4006A">
          <w:rPr>
            <w:rStyle w:val="Lienhypertexte"/>
          </w:rPr>
          <w:t>https://agriculture.wallonie.be/evolution-de-l-economie-agricole-et-horticole-wallonne</w:t>
        </w:r>
      </w:hyperlink>
      <w:r>
        <w:t xml:space="preserve"> et pour les plus anciens sur :</w:t>
      </w:r>
      <w:r w:rsidRPr="005E244B">
        <w:t xml:space="preserve"> </w:t>
      </w:r>
      <w:hyperlink r:id="rId2" w:history="1">
        <w:r w:rsidRPr="00E4006A">
          <w:rPr>
            <w:rStyle w:val="Lienhypertexte"/>
          </w:rPr>
          <w:t>https://agriculture.wallonie.be/archives</w:t>
        </w:r>
      </w:hyperlink>
      <w:r>
        <w:t xml:space="preserve">.  </w:t>
      </w:r>
    </w:p>
  </w:footnote>
  <w:footnote w:id="5">
    <w:p w:rsidR="00382697" w:rsidRDefault="00382697" w:rsidP="008E4213">
      <w:pPr>
        <w:pStyle w:val="Notedebasdepage"/>
      </w:pPr>
      <w:r>
        <w:rPr>
          <w:rStyle w:val="Appelnotedebasdep"/>
        </w:rPr>
        <w:footnoteRef/>
      </w:r>
      <w:r>
        <w:t xml:space="preserve"> Les premiers résultats sont </w:t>
      </w:r>
      <w:r w:rsidR="00115165">
        <w:t>davantage</w:t>
      </w:r>
      <w:r>
        <w:t xml:space="preserve"> influencés par les exploitations de l’échantillon qui livrent à la RT car leur </w:t>
      </w:r>
      <w:r w:rsidR="004E670A">
        <w:t>« </w:t>
      </w:r>
      <w:r>
        <w:t>compte betterave</w:t>
      </w:r>
      <w:r w:rsidR="004E670A">
        <w:t>s »</w:t>
      </w:r>
      <w:r>
        <w:t xml:space="preserve"> </w:t>
      </w:r>
      <w:r w:rsidR="004E670A">
        <w:t xml:space="preserve">est clôturé plus tôt dans l’année </w:t>
      </w:r>
      <w:r>
        <w:t xml:space="preserve">que ceux qui livrent </w:t>
      </w:r>
      <w:r w:rsidR="00115165">
        <w:t>à</w:t>
      </w:r>
      <w:r>
        <w:t xml:space="preserve"> ISCAL</w:t>
      </w:r>
      <w:r w:rsidR="004E670A">
        <w:t xml:space="preserve"> (Hainaut)</w:t>
      </w:r>
      <w:r>
        <w:t xml:space="preserve">. La marge brute définitive </w:t>
      </w:r>
      <w:r w:rsidR="00115165">
        <w:t>devrait être</w:t>
      </w:r>
      <w:r>
        <w:t xml:space="preserve"> </w:t>
      </w:r>
      <w:r w:rsidR="004E670A">
        <w:t xml:space="preserve">un peu </w:t>
      </w:r>
      <w:r>
        <w:t>plus favorable qu’</w:t>
      </w:r>
      <w:r w:rsidR="00115165">
        <w:t>elle</w:t>
      </w:r>
      <w:r>
        <w:t xml:space="preserve"> ne l’est à ce stade-ci</w:t>
      </w:r>
      <w:r w:rsidR="00115165">
        <w:t xml:space="preserve"> des clôtures comptables</w:t>
      </w:r>
      <w:r>
        <w:t>.</w:t>
      </w:r>
    </w:p>
  </w:footnote>
  <w:footnote w:id="6">
    <w:p w:rsidR="00382697" w:rsidRDefault="00382697">
      <w:pPr>
        <w:pStyle w:val="Notedebasdepage"/>
      </w:pPr>
      <w:r>
        <w:rPr>
          <w:rStyle w:val="Appelnotedebasdep"/>
        </w:rPr>
        <w:footnoteRef/>
      </w:r>
      <w:r>
        <w:t xml:space="preserve"> Données DS 2018, SPW agriculture.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2697" w:rsidRDefault="00382697" w:rsidP="00F14CD6">
    <w:pPr>
      <w:pStyle w:val="En-tte"/>
      <w:ind w:left="3402"/>
    </w:pPr>
    <w:r>
      <w:rPr>
        <w:noProof/>
        <w:lang w:eastAsia="fr-BE"/>
      </w:rPr>
      <w:drawing>
        <wp:inline distT="0" distB="0" distL="0" distR="0">
          <wp:extent cx="1304538" cy="1790700"/>
          <wp:effectExtent l="1905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307983" cy="1795429"/>
                  </a:xfrm>
                  <a:prstGeom prst="rect">
                    <a:avLst/>
                  </a:prstGeom>
                  <a:noFill/>
                  <a:ln w="9525">
                    <a:noFill/>
                    <a:miter lim="800000"/>
                    <a:headEnd/>
                    <a:tailEnd/>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F1400"/>
    <w:multiLevelType w:val="hybridMultilevel"/>
    <w:tmpl w:val="F1304B36"/>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
    <w:nsid w:val="096B01A9"/>
    <w:multiLevelType w:val="hybridMultilevel"/>
    <w:tmpl w:val="82FA2776"/>
    <w:lvl w:ilvl="0" w:tplc="45761D8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nsid w:val="1F5B1AB0"/>
    <w:multiLevelType w:val="hybridMultilevel"/>
    <w:tmpl w:val="13145BC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
    <w:nsid w:val="340F6696"/>
    <w:multiLevelType w:val="hybridMultilevel"/>
    <w:tmpl w:val="B4661B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nsid w:val="36550F17"/>
    <w:multiLevelType w:val="hybridMultilevel"/>
    <w:tmpl w:val="82FA2776"/>
    <w:lvl w:ilvl="0" w:tplc="45761D8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
    <w:nsid w:val="4B0D7975"/>
    <w:multiLevelType w:val="hybridMultilevel"/>
    <w:tmpl w:val="13145BC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645C6394"/>
    <w:multiLevelType w:val="hybridMultilevel"/>
    <w:tmpl w:val="82FA2776"/>
    <w:lvl w:ilvl="0" w:tplc="45761D8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6510622C"/>
    <w:multiLevelType w:val="hybridMultilevel"/>
    <w:tmpl w:val="F036CD92"/>
    <w:lvl w:ilvl="0" w:tplc="080C0001">
      <w:start w:val="1"/>
      <w:numFmt w:val="bullet"/>
      <w:lvlText w:val=""/>
      <w:lvlJc w:val="left"/>
      <w:pPr>
        <w:ind w:left="1068" w:hanging="360"/>
      </w:pPr>
      <w:rPr>
        <w:rFonts w:ascii="Symbol" w:hAnsi="Symbol"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8">
    <w:nsid w:val="6F821D66"/>
    <w:multiLevelType w:val="hybridMultilevel"/>
    <w:tmpl w:val="82FA2776"/>
    <w:lvl w:ilvl="0" w:tplc="45761D82">
      <w:start w:val="1"/>
      <w:numFmt w:val="upperLetter"/>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
    <w:nsid w:val="7D2B3CF2"/>
    <w:multiLevelType w:val="hybridMultilevel"/>
    <w:tmpl w:val="BCB4B82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5"/>
  </w:num>
  <w:num w:numId="4">
    <w:abstractNumId w:val="2"/>
  </w:num>
  <w:num w:numId="5">
    <w:abstractNumId w:val="0"/>
  </w:num>
  <w:num w:numId="6">
    <w:abstractNumId w:val="4"/>
  </w:num>
  <w:num w:numId="7">
    <w:abstractNumId w:val="6"/>
  </w:num>
  <w:num w:numId="8">
    <w:abstractNumId w:val="8"/>
  </w:num>
  <w:num w:numId="9">
    <w:abstractNumId w:val="7"/>
  </w:num>
  <w:num w:numId="10">
    <w:abstractNumId w:val="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ELFOSSE Camille">
    <w15:presenceInfo w15:providerId="AD" w15:userId="S-1-5-21-238996419-2022647336-1815957656-78450"/>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hyphenationZone w:val="425"/>
  <w:drawingGridHorizontalSpacing w:val="110"/>
  <w:displayHorizont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552189"/>
    <w:rsid w:val="000017E1"/>
    <w:rsid w:val="00001CC4"/>
    <w:rsid w:val="000068E0"/>
    <w:rsid w:val="00007127"/>
    <w:rsid w:val="00011DDD"/>
    <w:rsid w:val="00016678"/>
    <w:rsid w:val="00037C20"/>
    <w:rsid w:val="000448C3"/>
    <w:rsid w:val="00045F9C"/>
    <w:rsid w:val="000509A5"/>
    <w:rsid w:val="00050BE3"/>
    <w:rsid w:val="000517B5"/>
    <w:rsid w:val="000547F6"/>
    <w:rsid w:val="00056E73"/>
    <w:rsid w:val="000578FB"/>
    <w:rsid w:val="00057C95"/>
    <w:rsid w:val="00060982"/>
    <w:rsid w:val="00070047"/>
    <w:rsid w:val="000771FB"/>
    <w:rsid w:val="00084C64"/>
    <w:rsid w:val="000959D0"/>
    <w:rsid w:val="000A1BB3"/>
    <w:rsid w:val="000B3768"/>
    <w:rsid w:val="000B4B9F"/>
    <w:rsid w:val="000B7D60"/>
    <w:rsid w:val="000C0C8C"/>
    <w:rsid w:val="000C35FC"/>
    <w:rsid w:val="000C6B6A"/>
    <w:rsid w:val="000C7355"/>
    <w:rsid w:val="000D1D81"/>
    <w:rsid w:val="000D289F"/>
    <w:rsid w:val="000D2E66"/>
    <w:rsid w:val="000D4E83"/>
    <w:rsid w:val="000D64CB"/>
    <w:rsid w:val="000D6EE0"/>
    <w:rsid w:val="000D7F06"/>
    <w:rsid w:val="000F21DD"/>
    <w:rsid w:val="000F25A1"/>
    <w:rsid w:val="00100AB0"/>
    <w:rsid w:val="0010343B"/>
    <w:rsid w:val="0010485F"/>
    <w:rsid w:val="001118B9"/>
    <w:rsid w:val="00115165"/>
    <w:rsid w:val="001230D5"/>
    <w:rsid w:val="00135438"/>
    <w:rsid w:val="00135AF1"/>
    <w:rsid w:val="00141656"/>
    <w:rsid w:val="001532C5"/>
    <w:rsid w:val="001556F2"/>
    <w:rsid w:val="00162517"/>
    <w:rsid w:val="00162D18"/>
    <w:rsid w:val="0017309D"/>
    <w:rsid w:val="00173F37"/>
    <w:rsid w:val="00176069"/>
    <w:rsid w:val="00183321"/>
    <w:rsid w:val="00186E56"/>
    <w:rsid w:val="00187E4C"/>
    <w:rsid w:val="001A4FAC"/>
    <w:rsid w:val="001B0B38"/>
    <w:rsid w:val="001B5A0D"/>
    <w:rsid w:val="001C10A1"/>
    <w:rsid w:val="001C4A2F"/>
    <w:rsid w:val="001D37A8"/>
    <w:rsid w:val="001E3F8C"/>
    <w:rsid w:val="001F0F83"/>
    <w:rsid w:val="001F2205"/>
    <w:rsid w:val="001F5868"/>
    <w:rsid w:val="001F624F"/>
    <w:rsid w:val="001F6DE4"/>
    <w:rsid w:val="002018DC"/>
    <w:rsid w:val="0020199D"/>
    <w:rsid w:val="00202516"/>
    <w:rsid w:val="00207BD6"/>
    <w:rsid w:val="00214430"/>
    <w:rsid w:val="00224FD4"/>
    <w:rsid w:val="00225734"/>
    <w:rsid w:val="00227224"/>
    <w:rsid w:val="00232D2C"/>
    <w:rsid w:val="002344F5"/>
    <w:rsid w:val="002435A1"/>
    <w:rsid w:val="002447A8"/>
    <w:rsid w:val="002453FB"/>
    <w:rsid w:val="00245407"/>
    <w:rsid w:val="002459DB"/>
    <w:rsid w:val="00251C9D"/>
    <w:rsid w:val="00253E77"/>
    <w:rsid w:val="0027153E"/>
    <w:rsid w:val="00272551"/>
    <w:rsid w:val="00273C16"/>
    <w:rsid w:val="0028432A"/>
    <w:rsid w:val="00285A5A"/>
    <w:rsid w:val="0029569C"/>
    <w:rsid w:val="002977C3"/>
    <w:rsid w:val="00297A89"/>
    <w:rsid w:val="002A2393"/>
    <w:rsid w:val="002B4CBD"/>
    <w:rsid w:val="002C17B8"/>
    <w:rsid w:val="002C6112"/>
    <w:rsid w:val="002E0732"/>
    <w:rsid w:val="002E4BC6"/>
    <w:rsid w:val="002E692E"/>
    <w:rsid w:val="002F4E68"/>
    <w:rsid w:val="00301689"/>
    <w:rsid w:val="00302801"/>
    <w:rsid w:val="00312F7C"/>
    <w:rsid w:val="00314AF2"/>
    <w:rsid w:val="003156B4"/>
    <w:rsid w:val="00321953"/>
    <w:rsid w:val="0032240F"/>
    <w:rsid w:val="00327B09"/>
    <w:rsid w:val="003341CF"/>
    <w:rsid w:val="00334C3C"/>
    <w:rsid w:val="003436A1"/>
    <w:rsid w:val="00347818"/>
    <w:rsid w:val="0035006D"/>
    <w:rsid w:val="00350885"/>
    <w:rsid w:val="003512EC"/>
    <w:rsid w:val="00352169"/>
    <w:rsid w:val="0036612D"/>
    <w:rsid w:val="0037295D"/>
    <w:rsid w:val="003729D7"/>
    <w:rsid w:val="00374506"/>
    <w:rsid w:val="00382697"/>
    <w:rsid w:val="0038391B"/>
    <w:rsid w:val="003956E6"/>
    <w:rsid w:val="00397458"/>
    <w:rsid w:val="003979D6"/>
    <w:rsid w:val="003A1E53"/>
    <w:rsid w:val="003A634F"/>
    <w:rsid w:val="003A6B00"/>
    <w:rsid w:val="003B0D57"/>
    <w:rsid w:val="003B4AE9"/>
    <w:rsid w:val="003C6B82"/>
    <w:rsid w:val="003D1F46"/>
    <w:rsid w:val="003E2C53"/>
    <w:rsid w:val="003E5EB7"/>
    <w:rsid w:val="003E7C4D"/>
    <w:rsid w:val="003F0CCE"/>
    <w:rsid w:val="003F0D0D"/>
    <w:rsid w:val="003F1BF4"/>
    <w:rsid w:val="003F6998"/>
    <w:rsid w:val="004002D2"/>
    <w:rsid w:val="00401B6A"/>
    <w:rsid w:val="0040526D"/>
    <w:rsid w:val="00412DB7"/>
    <w:rsid w:val="00413958"/>
    <w:rsid w:val="00415B8C"/>
    <w:rsid w:val="004239CB"/>
    <w:rsid w:val="004320CC"/>
    <w:rsid w:val="00432590"/>
    <w:rsid w:val="00434553"/>
    <w:rsid w:val="00437BBB"/>
    <w:rsid w:val="00437E34"/>
    <w:rsid w:val="004412DE"/>
    <w:rsid w:val="00446A56"/>
    <w:rsid w:val="00450E9F"/>
    <w:rsid w:val="00451D44"/>
    <w:rsid w:val="0045253A"/>
    <w:rsid w:val="00453450"/>
    <w:rsid w:val="00454C78"/>
    <w:rsid w:val="004603E3"/>
    <w:rsid w:val="00462286"/>
    <w:rsid w:val="00464C18"/>
    <w:rsid w:val="004709C8"/>
    <w:rsid w:val="0049429F"/>
    <w:rsid w:val="004A008D"/>
    <w:rsid w:val="004A5E87"/>
    <w:rsid w:val="004B0404"/>
    <w:rsid w:val="004B1806"/>
    <w:rsid w:val="004B68B3"/>
    <w:rsid w:val="004C5D97"/>
    <w:rsid w:val="004C6795"/>
    <w:rsid w:val="004D106A"/>
    <w:rsid w:val="004D4019"/>
    <w:rsid w:val="004E670A"/>
    <w:rsid w:val="004F5253"/>
    <w:rsid w:val="004F62EE"/>
    <w:rsid w:val="00505F5D"/>
    <w:rsid w:val="0051238E"/>
    <w:rsid w:val="005126BE"/>
    <w:rsid w:val="0051352A"/>
    <w:rsid w:val="00524ECC"/>
    <w:rsid w:val="00525970"/>
    <w:rsid w:val="005345DB"/>
    <w:rsid w:val="00540D61"/>
    <w:rsid w:val="005413C4"/>
    <w:rsid w:val="00546FE6"/>
    <w:rsid w:val="005509D7"/>
    <w:rsid w:val="00552189"/>
    <w:rsid w:val="0056560B"/>
    <w:rsid w:val="00571B03"/>
    <w:rsid w:val="0057209A"/>
    <w:rsid w:val="00574CC0"/>
    <w:rsid w:val="00574F3E"/>
    <w:rsid w:val="005817FE"/>
    <w:rsid w:val="0058725E"/>
    <w:rsid w:val="00587D3B"/>
    <w:rsid w:val="00591661"/>
    <w:rsid w:val="00591FEB"/>
    <w:rsid w:val="00593F45"/>
    <w:rsid w:val="005948E5"/>
    <w:rsid w:val="00597AC9"/>
    <w:rsid w:val="005A01AA"/>
    <w:rsid w:val="005A5448"/>
    <w:rsid w:val="005A6F8E"/>
    <w:rsid w:val="005B2688"/>
    <w:rsid w:val="005C1761"/>
    <w:rsid w:val="005D2470"/>
    <w:rsid w:val="005D2A9D"/>
    <w:rsid w:val="005D2D11"/>
    <w:rsid w:val="005D326E"/>
    <w:rsid w:val="005D7B34"/>
    <w:rsid w:val="005E244B"/>
    <w:rsid w:val="005E4B50"/>
    <w:rsid w:val="005F51CE"/>
    <w:rsid w:val="00602661"/>
    <w:rsid w:val="00603113"/>
    <w:rsid w:val="00605608"/>
    <w:rsid w:val="00611A6B"/>
    <w:rsid w:val="00614311"/>
    <w:rsid w:val="00614919"/>
    <w:rsid w:val="0061501D"/>
    <w:rsid w:val="0061590C"/>
    <w:rsid w:val="00622B67"/>
    <w:rsid w:val="00622E7A"/>
    <w:rsid w:val="00626E70"/>
    <w:rsid w:val="00636379"/>
    <w:rsid w:val="0064051A"/>
    <w:rsid w:val="0064064F"/>
    <w:rsid w:val="00641BE3"/>
    <w:rsid w:val="00643C3A"/>
    <w:rsid w:val="0064544D"/>
    <w:rsid w:val="00645804"/>
    <w:rsid w:val="00661FB9"/>
    <w:rsid w:val="00663527"/>
    <w:rsid w:val="00667D3A"/>
    <w:rsid w:val="00675853"/>
    <w:rsid w:val="006765C4"/>
    <w:rsid w:val="00676B38"/>
    <w:rsid w:val="006777BF"/>
    <w:rsid w:val="006811BC"/>
    <w:rsid w:val="006B72F9"/>
    <w:rsid w:val="006C439A"/>
    <w:rsid w:val="006C60D3"/>
    <w:rsid w:val="006C6E6C"/>
    <w:rsid w:val="006D61B5"/>
    <w:rsid w:val="006D6853"/>
    <w:rsid w:val="006E0D5E"/>
    <w:rsid w:val="006E2FCD"/>
    <w:rsid w:val="006E6DA2"/>
    <w:rsid w:val="006F1EE5"/>
    <w:rsid w:val="006F3158"/>
    <w:rsid w:val="006F374E"/>
    <w:rsid w:val="006F7F8D"/>
    <w:rsid w:val="0070126B"/>
    <w:rsid w:val="00713619"/>
    <w:rsid w:val="007167FD"/>
    <w:rsid w:val="00720A46"/>
    <w:rsid w:val="00721A04"/>
    <w:rsid w:val="00733E4A"/>
    <w:rsid w:val="00746ACF"/>
    <w:rsid w:val="00754A1F"/>
    <w:rsid w:val="007569DA"/>
    <w:rsid w:val="0076254E"/>
    <w:rsid w:val="007628DA"/>
    <w:rsid w:val="007704E2"/>
    <w:rsid w:val="00770799"/>
    <w:rsid w:val="00771A62"/>
    <w:rsid w:val="007730EE"/>
    <w:rsid w:val="007773FB"/>
    <w:rsid w:val="00781A89"/>
    <w:rsid w:val="007831DD"/>
    <w:rsid w:val="00784578"/>
    <w:rsid w:val="00796B97"/>
    <w:rsid w:val="007A0111"/>
    <w:rsid w:val="007A62EF"/>
    <w:rsid w:val="007A763D"/>
    <w:rsid w:val="007B152B"/>
    <w:rsid w:val="007C0C8D"/>
    <w:rsid w:val="007C523F"/>
    <w:rsid w:val="007D1BCB"/>
    <w:rsid w:val="007E29E3"/>
    <w:rsid w:val="007F50CE"/>
    <w:rsid w:val="008038C3"/>
    <w:rsid w:val="00805B33"/>
    <w:rsid w:val="008066E2"/>
    <w:rsid w:val="00806A75"/>
    <w:rsid w:val="008146D1"/>
    <w:rsid w:val="00816B6D"/>
    <w:rsid w:val="008175EA"/>
    <w:rsid w:val="008219DB"/>
    <w:rsid w:val="00821F21"/>
    <w:rsid w:val="00822DFD"/>
    <w:rsid w:val="00825E7B"/>
    <w:rsid w:val="00840513"/>
    <w:rsid w:val="00847F6F"/>
    <w:rsid w:val="008516BF"/>
    <w:rsid w:val="00855E9E"/>
    <w:rsid w:val="00856ABE"/>
    <w:rsid w:val="00872CCA"/>
    <w:rsid w:val="00877AC1"/>
    <w:rsid w:val="0088598D"/>
    <w:rsid w:val="008861D5"/>
    <w:rsid w:val="00895FC8"/>
    <w:rsid w:val="008A290D"/>
    <w:rsid w:val="008A4BB0"/>
    <w:rsid w:val="008B1110"/>
    <w:rsid w:val="008B1F9C"/>
    <w:rsid w:val="008B257C"/>
    <w:rsid w:val="008C0DF0"/>
    <w:rsid w:val="008C2C5A"/>
    <w:rsid w:val="008D0D6A"/>
    <w:rsid w:val="008D1E25"/>
    <w:rsid w:val="008D2646"/>
    <w:rsid w:val="008D45A8"/>
    <w:rsid w:val="008D611C"/>
    <w:rsid w:val="008E15A2"/>
    <w:rsid w:val="008E1CC2"/>
    <w:rsid w:val="008E4213"/>
    <w:rsid w:val="008E5F5A"/>
    <w:rsid w:val="008E7951"/>
    <w:rsid w:val="009050EC"/>
    <w:rsid w:val="009066A2"/>
    <w:rsid w:val="00907961"/>
    <w:rsid w:val="00912F2F"/>
    <w:rsid w:val="0092173F"/>
    <w:rsid w:val="00926C78"/>
    <w:rsid w:val="00932116"/>
    <w:rsid w:val="00935C34"/>
    <w:rsid w:val="00940094"/>
    <w:rsid w:val="009415E5"/>
    <w:rsid w:val="0094654F"/>
    <w:rsid w:val="0095036F"/>
    <w:rsid w:val="00956835"/>
    <w:rsid w:val="00971D36"/>
    <w:rsid w:val="00973300"/>
    <w:rsid w:val="00984695"/>
    <w:rsid w:val="00985E8E"/>
    <w:rsid w:val="00990788"/>
    <w:rsid w:val="009952F1"/>
    <w:rsid w:val="00996C0F"/>
    <w:rsid w:val="009A5FF3"/>
    <w:rsid w:val="009A7C0B"/>
    <w:rsid w:val="009A7F13"/>
    <w:rsid w:val="009B06F7"/>
    <w:rsid w:val="009B48E1"/>
    <w:rsid w:val="009B7690"/>
    <w:rsid w:val="009C232A"/>
    <w:rsid w:val="009C2795"/>
    <w:rsid w:val="009C7445"/>
    <w:rsid w:val="009D022F"/>
    <w:rsid w:val="009D70C4"/>
    <w:rsid w:val="009E00A9"/>
    <w:rsid w:val="009E2008"/>
    <w:rsid w:val="009F5AA1"/>
    <w:rsid w:val="00A015F6"/>
    <w:rsid w:val="00A12F7D"/>
    <w:rsid w:val="00A14377"/>
    <w:rsid w:val="00A20EA1"/>
    <w:rsid w:val="00A22EF3"/>
    <w:rsid w:val="00A26F20"/>
    <w:rsid w:val="00A354FB"/>
    <w:rsid w:val="00A4630C"/>
    <w:rsid w:val="00A50202"/>
    <w:rsid w:val="00A53D12"/>
    <w:rsid w:val="00A5407D"/>
    <w:rsid w:val="00A64C00"/>
    <w:rsid w:val="00A77007"/>
    <w:rsid w:val="00A84040"/>
    <w:rsid w:val="00AA4A67"/>
    <w:rsid w:val="00AB1A83"/>
    <w:rsid w:val="00AB1B54"/>
    <w:rsid w:val="00AD0809"/>
    <w:rsid w:val="00AD27E2"/>
    <w:rsid w:val="00AE6EFA"/>
    <w:rsid w:val="00AF27BE"/>
    <w:rsid w:val="00B00CC5"/>
    <w:rsid w:val="00B0240F"/>
    <w:rsid w:val="00B03EC4"/>
    <w:rsid w:val="00B14EB2"/>
    <w:rsid w:val="00B1503B"/>
    <w:rsid w:val="00B1664A"/>
    <w:rsid w:val="00B25A14"/>
    <w:rsid w:val="00B339F2"/>
    <w:rsid w:val="00B41A66"/>
    <w:rsid w:val="00B61C23"/>
    <w:rsid w:val="00B640DA"/>
    <w:rsid w:val="00B646F1"/>
    <w:rsid w:val="00B70B1B"/>
    <w:rsid w:val="00B723DB"/>
    <w:rsid w:val="00B751CC"/>
    <w:rsid w:val="00B86886"/>
    <w:rsid w:val="00B902E5"/>
    <w:rsid w:val="00B93CAB"/>
    <w:rsid w:val="00B94296"/>
    <w:rsid w:val="00B97F5F"/>
    <w:rsid w:val="00BA505B"/>
    <w:rsid w:val="00BB3DD4"/>
    <w:rsid w:val="00BB4AB1"/>
    <w:rsid w:val="00BB547D"/>
    <w:rsid w:val="00BD607A"/>
    <w:rsid w:val="00BD6129"/>
    <w:rsid w:val="00BD69EA"/>
    <w:rsid w:val="00BE237F"/>
    <w:rsid w:val="00BE7D12"/>
    <w:rsid w:val="00C026EF"/>
    <w:rsid w:val="00C12442"/>
    <w:rsid w:val="00C23B52"/>
    <w:rsid w:val="00C26BA3"/>
    <w:rsid w:val="00C304C1"/>
    <w:rsid w:val="00C304C4"/>
    <w:rsid w:val="00C32DA1"/>
    <w:rsid w:val="00C360FD"/>
    <w:rsid w:val="00C456C5"/>
    <w:rsid w:val="00C47AB5"/>
    <w:rsid w:val="00C5048E"/>
    <w:rsid w:val="00C54616"/>
    <w:rsid w:val="00C56145"/>
    <w:rsid w:val="00C61BB2"/>
    <w:rsid w:val="00C67EF7"/>
    <w:rsid w:val="00C7034A"/>
    <w:rsid w:val="00C724D5"/>
    <w:rsid w:val="00C73699"/>
    <w:rsid w:val="00C76FF1"/>
    <w:rsid w:val="00C843EB"/>
    <w:rsid w:val="00C8626A"/>
    <w:rsid w:val="00C91A7A"/>
    <w:rsid w:val="00C92639"/>
    <w:rsid w:val="00C936C8"/>
    <w:rsid w:val="00C95CA6"/>
    <w:rsid w:val="00CA178C"/>
    <w:rsid w:val="00CA1A8C"/>
    <w:rsid w:val="00CA374F"/>
    <w:rsid w:val="00CB1457"/>
    <w:rsid w:val="00CB3414"/>
    <w:rsid w:val="00CB7882"/>
    <w:rsid w:val="00CC7FE6"/>
    <w:rsid w:val="00CD2556"/>
    <w:rsid w:val="00CE0B77"/>
    <w:rsid w:val="00CF3AAE"/>
    <w:rsid w:val="00D047AB"/>
    <w:rsid w:val="00D066B2"/>
    <w:rsid w:val="00D0675C"/>
    <w:rsid w:val="00D15457"/>
    <w:rsid w:val="00D26958"/>
    <w:rsid w:val="00D30A8B"/>
    <w:rsid w:val="00D313CA"/>
    <w:rsid w:val="00D41082"/>
    <w:rsid w:val="00D4547F"/>
    <w:rsid w:val="00D51931"/>
    <w:rsid w:val="00D52ADF"/>
    <w:rsid w:val="00D64477"/>
    <w:rsid w:val="00D65315"/>
    <w:rsid w:val="00D71D02"/>
    <w:rsid w:val="00D73911"/>
    <w:rsid w:val="00D750AC"/>
    <w:rsid w:val="00D75A69"/>
    <w:rsid w:val="00D76050"/>
    <w:rsid w:val="00D771CF"/>
    <w:rsid w:val="00D91466"/>
    <w:rsid w:val="00DA0B15"/>
    <w:rsid w:val="00DA5AFF"/>
    <w:rsid w:val="00DA7DCB"/>
    <w:rsid w:val="00DC4831"/>
    <w:rsid w:val="00DC5C0A"/>
    <w:rsid w:val="00DD10C4"/>
    <w:rsid w:val="00DD1684"/>
    <w:rsid w:val="00DF2C69"/>
    <w:rsid w:val="00DF4B98"/>
    <w:rsid w:val="00DF5251"/>
    <w:rsid w:val="00DF6F2F"/>
    <w:rsid w:val="00E01155"/>
    <w:rsid w:val="00E164A6"/>
    <w:rsid w:val="00E20365"/>
    <w:rsid w:val="00E217F7"/>
    <w:rsid w:val="00E2226B"/>
    <w:rsid w:val="00E227D5"/>
    <w:rsid w:val="00E23FEB"/>
    <w:rsid w:val="00E308B3"/>
    <w:rsid w:val="00E3590A"/>
    <w:rsid w:val="00E3642F"/>
    <w:rsid w:val="00E40519"/>
    <w:rsid w:val="00E43398"/>
    <w:rsid w:val="00E46E37"/>
    <w:rsid w:val="00E46E5A"/>
    <w:rsid w:val="00E55335"/>
    <w:rsid w:val="00E61232"/>
    <w:rsid w:val="00E676A4"/>
    <w:rsid w:val="00E72808"/>
    <w:rsid w:val="00E87543"/>
    <w:rsid w:val="00E91185"/>
    <w:rsid w:val="00E937BC"/>
    <w:rsid w:val="00EB2AE5"/>
    <w:rsid w:val="00EC2C35"/>
    <w:rsid w:val="00EC4EA9"/>
    <w:rsid w:val="00EC6447"/>
    <w:rsid w:val="00ED49A3"/>
    <w:rsid w:val="00EF2C7B"/>
    <w:rsid w:val="00EF306F"/>
    <w:rsid w:val="00F034AE"/>
    <w:rsid w:val="00F0517F"/>
    <w:rsid w:val="00F12D51"/>
    <w:rsid w:val="00F14CD6"/>
    <w:rsid w:val="00F14CEE"/>
    <w:rsid w:val="00F1799D"/>
    <w:rsid w:val="00F20208"/>
    <w:rsid w:val="00F20971"/>
    <w:rsid w:val="00F213AB"/>
    <w:rsid w:val="00F22080"/>
    <w:rsid w:val="00F41848"/>
    <w:rsid w:val="00F41FED"/>
    <w:rsid w:val="00F44BF2"/>
    <w:rsid w:val="00F45627"/>
    <w:rsid w:val="00F534C8"/>
    <w:rsid w:val="00F548F9"/>
    <w:rsid w:val="00F622A3"/>
    <w:rsid w:val="00F70230"/>
    <w:rsid w:val="00F71356"/>
    <w:rsid w:val="00F75F73"/>
    <w:rsid w:val="00F803E9"/>
    <w:rsid w:val="00F815A6"/>
    <w:rsid w:val="00F82DE9"/>
    <w:rsid w:val="00F8619F"/>
    <w:rsid w:val="00F87CE4"/>
    <w:rsid w:val="00F977C4"/>
    <w:rsid w:val="00FA5B3B"/>
    <w:rsid w:val="00FA66A1"/>
    <w:rsid w:val="00FA7325"/>
    <w:rsid w:val="00FB30B3"/>
    <w:rsid w:val="00FB33A1"/>
    <w:rsid w:val="00FC60E2"/>
    <w:rsid w:val="00FC6F94"/>
    <w:rsid w:val="00FD47BD"/>
    <w:rsid w:val="00FD7149"/>
    <w:rsid w:val="00FE09B5"/>
    <w:rsid w:val="00FE1DCD"/>
    <w:rsid w:val="00FE7283"/>
    <w:rsid w:val="00FE749E"/>
    <w:rsid w:val="00FF0929"/>
    <w:rsid w:val="00FF2BA1"/>
    <w:rsid w:val="00FF467F"/>
    <w:rsid w:val="00FF663B"/>
  </w:rsids>
  <m:mathPr>
    <m:mathFont m:val="Cambria Math"/>
    <m:brkBin m:val="before"/>
    <m:brkBinSub m:val="--"/>
    <m:smallFrac m:val="off"/>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885"/>
  </w:style>
  <w:style w:type="paragraph" w:styleId="Titre2">
    <w:name w:val="heading 2"/>
    <w:basedOn w:val="Normal"/>
    <w:next w:val="Normal"/>
    <w:link w:val="Titre2Car"/>
    <w:uiPriority w:val="9"/>
    <w:unhideWhenUsed/>
    <w:qFormat/>
    <w:rsid w:val="00847F6F"/>
    <w:pPr>
      <w:keepNext/>
      <w:keepLines/>
      <w:spacing w:before="240" w:after="120" w:line="240" w:lineRule="auto"/>
      <w:outlineLvl w:val="1"/>
    </w:pPr>
    <w:rPr>
      <w:rFonts w:ascii="Verdana" w:eastAsiaTheme="majorEastAsia" w:hAnsi="Verdana" w:cstheme="majorBidi"/>
      <w:b/>
      <w:bCs/>
      <w:sz w:val="24"/>
      <w:szCs w:val="26"/>
    </w:rPr>
  </w:style>
  <w:style w:type="paragraph" w:styleId="Titre3">
    <w:name w:val="heading 3"/>
    <w:basedOn w:val="Normal"/>
    <w:next w:val="Normal"/>
    <w:link w:val="Titre3Car"/>
    <w:uiPriority w:val="9"/>
    <w:unhideWhenUsed/>
    <w:qFormat/>
    <w:rsid w:val="00D313CA"/>
    <w:pPr>
      <w:keepNext/>
      <w:keepLines/>
      <w:spacing w:before="200" w:after="120" w:line="240" w:lineRule="auto"/>
      <w:outlineLvl w:val="2"/>
    </w:pPr>
    <w:rPr>
      <w:rFonts w:ascii="Verdana" w:eastAsiaTheme="majorEastAsia" w:hAnsi="Verdana" w:cstheme="majorBidi"/>
      <w:b/>
      <w:bCs/>
      <w:i/>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71B0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71B03"/>
    <w:rPr>
      <w:rFonts w:ascii="Tahoma" w:hAnsi="Tahoma" w:cs="Tahoma"/>
      <w:sz w:val="16"/>
      <w:szCs w:val="16"/>
    </w:rPr>
  </w:style>
  <w:style w:type="paragraph" w:styleId="Paragraphedeliste">
    <w:name w:val="List Paragraph"/>
    <w:basedOn w:val="Normal"/>
    <w:uiPriority w:val="34"/>
    <w:qFormat/>
    <w:rsid w:val="001F624F"/>
    <w:pPr>
      <w:ind w:left="720"/>
      <w:contextualSpacing/>
    </w:pPr>
  </w:style>
  <w:style w:type="character" w:customStyle="1" w:styleId="Titre2Car">
    <w:name w:val="Titre 2 Car"/>
    <w:basedOn w:val="Policepardfaut"/>
    <w:link w:val="Titre2"/>
    <w:uiPriority w:val="9"/>
    <w:rsid w:val="00847F6F"/>
    <w:rPr>
      <w:rFonts w:ascii="Verdana" w:eastAsiaTheme="majorEastAsia" w:hAnsi="Verdana" w:cstheme="majorBidi"/>
      <w:b/>
      <w:bCs/>
      <w:sz w:val="24"/>
      <w:szCs w:val="26"/>
    </w:rPr>
  </w:style>
  <w:style w:type="paragraph" w:customStyle="1" w:styleId="figure">
    <w:name w:val="figure"/>
    <w:basedOn w:val="Normal"/>
    <w:link w:val="figureCar"/>
    <w:qFormat/>
    <w:rsid w:val="00CB1457"/>
    <w:pPr>
      <w:keepNext/>
      <w:spacing w:before="240" w:after="0" w:line="240" w:lineRule="auto"/>
      <w:jc w:val="center"/>
    </w:pPr>
    <w:rPr>
      <w:rFonts w:ascii="Verdana" w:hAnsi="Verdana"/>
      <w:noProof/>
      <w:sz w:val="20"/>
      <w:szCs w:val="20"/>
      <w:lang w:eastAsia="fr-BE"/>
    </w:rPr>
  </w:style>
  <w:style w:type="paragraph" w:styleId="Lgende">
    <w:name w:val="caption"/>
    <w:basedOn w:val="Normal"/>
    <w:next w:val="Normal"/>
    <w:uiPriority w:val="35"/>
    <w:unhideWhenUsed/>
    <w:qFormat/>
    <w:rsid w:val="00796B97"/>
    <w:pPr>
      <w:keepNext/>
      <w:spacing w:after="0" w:line="240" w:lineRule="auto"/>
    </w:pPr>
    <w:rPr>
      <w:rFonts w:ascii="Verdana" w:hAnsi="Verdana"/>
      <w:bCs/>
      <w:i/>
      <w:sz w:val="18"/>
      <w:szCs w:val="18"/>
    </w:rPr>
  </w:style>
  <w:style w:type="character" w:customStyle="1" w:styleId="figureCar">
    <w:name w:val="figure Car"/>
    <w:basedOn w:val="Policepardfaut"/>
    <w:link w:val="figure"/>
    <w:rsid w:val="00CB1457"/>
    <w:rPr>
      <w:rFonts w:ascii="Verdana" w:hAnsi="Verdana"/>
      <w:noProof/>
      <w:sz w:val="20"/>
      <w:szCs w:val="20"/>
      <w:lang w:eastAsia="fr-BE"/>
    </w:rPr>
  </w:style>
  <w:style w:type="paragraph" w:customStyle="1" w:styleId="Tableau">
    <w:name w:val="Tableau"/>
    <w:basedOn w:val="Normal"/>
    <w:link w:val="TableauCar"/>
    <w:qFormat/>
    <w:rsid w:val="0032240F"/>
    <w:pPr>
      <w:spacing w:after="0" w:line="240" w:lineRule="auto"/>
      <w:jc w:val="center"/>
    </w:pPr>
    <w:rPr>
      <w:rFonts w:ascii="Verdana" w:hAnsi="Verdana"/>
      <w:sz w:val="20"/>
      <w:szCs w:val="20"/>
      <w:lang w:eastAsia="fr-BE"/>
    </w:rPr>
  </w:style>
  <w:style w:type="character" w:customStyle="1" w:styleId="TableauCar">
    <w:name w:val="Tableau Car"/>
    <w:basedOn w:val="Policepardfaut"/>
    <w:link w:val="Tableau"/>
    <w:rsid w:val="0032240F"/>
    <w:rPr>
      <w:rFonts w:ascii="Verdana" w:hAnsi="Verdana"/>
      <w:sz w:val="20"/>
      <w:szCs w:val="20"/>
      <w:lang w:eastAsia="fr-BE"/>
    </w:rPr>
  </w:style>
  <w:style w:type="paragraph" w:styleId="En-tte">
    <w:name w:val="header"/>
    <w:basedOn w:val="Normal"/>
    <w:link w:val="En-tteCar"/>
    <w:uiPriority w:val="99"/>
    <w:semiHidden/>
    <w:unhideWhenUsed/>
    <w:rsid w:val="007A0111"/>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7A0111"/>
  </w:style>
  <w:style w:type="paragraph" w:styleId="Pieddepage">
    <w:name w:val="footer"/>
    <w:basedOn w:val="Normal"/>
    <w:link w:val="PieddepageCar"/>
    <w:uiPriority w:val="99"/>
    <w:semiHidden/>
    <w:unhideWhenUsed/>
    <w:rsid w:val="007A0111"/>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7A0111"/>
  </w:style>
  <w:style w:type="character" w:customStyle="1" w:styleId="Titre3Car">
    <w:name w:val="Titre 3 Car"/>
    <w:basedOn w:val="Policepardfaut"/>
    <w:link w:val="Titre3"/>
    <w:uiPriority w:val="9"/>
    <w:rsid w:val="00D313CA"/>
    <w:rPr>
      <w:rFonts w:ascii="Verdana" w:eastAsiaTheme="majorEastAsia" w:hAnsi="Verdana" w:cstheme="majorBidi"/>
      <w:b/>
      <w:bCs/>
      <w:i/>
    </w:rPr>
  </w:style>
  <w:style w:type="paragraph" w:styleId="Notedebasdepage">
    <w:name w:val="footnote text"/>
    <w:basedOn w:val="Normal"/>
    <w:link w:val="NotedebasdepageCar"/>
    <w:uiPriority w:val="99"/>
    <w:semiHidden/>
    <w:unhideWhenUsed/>
    <w:rsid w:val="00AA4A67"/>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AA4A67"/>
    <w:rPr>
      <w:sz w:val="20"/>
      <w:szCs w:val="20"/>
    </w:rPr>
  </w:style>
  <w:style w:type="character" w:styleId="Appelnotedebasdep">
    <w:name w:val="footnote reference"/>
    <w:basedOn w:val="Policepardfaut"/>
    <w:uiPriority w:val="99"/>
    <w:semiHidden/>
    <w:unhideWhenUsed/>
    <w:rsid w:val="00AA4A67"/>
    <w:rPr>
      <w:vertAlign w:val="superscript"/>
    </w:rPr>
  </w:style>
  <w:style w:type="character" w:styleId="Lienhypertexte">
    <w:name w:val="Hyperlink"/>
    <w:basedOn w:val="Policepardfaut"/>
    <w:uiPriority w:val="99"/>
    <w:unhideWhenUsed/>
    <w:rsid w:val="00A5407D"/>
    <w:rPr>
      <w:color w:val="0000FF" w:themeColor="hyperlink"/>
      <w:u w:val="single"/>
    </w:rPr>
  </w:style>
  <w:style w:type="character" w:styleId="Marquedecommentaire">
    <w:name w:val="annotation reference"/>
    <w:basedOn w:val="Policepardfaut"/>
    <w:uiPriority w:val="99"/>
    <w:semiHidden/>
    <w:unhideWhenUsed/>
    <w:rsid w:val="007730EE"/>
    <w:rPr>
      <w:sz w:val="16"/>
      <w:szCs w:val="16"/>
    </w:rPr>
  </w:style>
  <w:style w:type="paragraph" w:styleId="Commentaire">
    <w:name w:val="annotation text"/>
    <w:basedOn w:val="Normal"/>
    <w:link w:val="CommentaireCar"/>
    <w:uiPriority w:val="99"/>
    <w:semiHidden/>
    <w:unhideWhenUsed/>
    <w:rsid w:val="007730EE"/>
    <w:pPr>
      <w:spacing w:line="240" w:lineRule="auto"/>
    </w:pPr>
    <w:rPr>
      <w:sz w:val="20"/>
      <w:szCs w:val="20"/>
    </w:rPr>
  </w:style>
  <w:style w:type="character" w:customStyle="1" w:styleId="CommentaireCar">
    <w:name w:val="Commentaire Car"/>
    <w:basedOn w:val="Policepardfaut"/>
    <w:link w:val="Commentaire"/>
    <w:uiPriority w:val="99"/>
    <w:semiHidden/>
    <w:rsid w:val="007730EE"/>
    <w:rPr>
      <w:sz w:val="20"/>
      <w:szCs w:val="20"/>
    </w:rPr>
  </w:style>
  <w:style w:type="paragraph" w:styleId="Objetducommentaire">
    <w:name w:val="annotation subject"/>
    <w:basedOn w:val="Commentaire"/>
    <w:next w:val="Commentaire"/>
    <w:link w:val="ObjetducommentaireCar"/>
    <w:uiPriority w:val="99"/>
    <w:semiHidden/>
    <w:unhideWhenUsed/>
    <w:rsid w:val="007730EE"/>
    <w:rPr>
      <w:b/>
      <w:bCs/>
    </w:rPr>
  </w:style>
  <w:style w:type="character" w:customStyle="1" w:styleId="ObjetducommentaireCar">
    <w:name w:val="Objet du commentaire Car"/>
    <w:basedOn w:val="CommentaireCar"/>
    <w:link w:val="Objetducommentaire"/>
    <w:uiPriority w:val="99"/>
    <w:semiHidden/>
    <w:rsid w:val="007730EE"/>
    <w:rPr>
      <w:b/>
      <w:bCs/>
      <w:sz w:val="20"/>
      <w:szCs w:val="20"/>
    </w:rPr>
  </w:style>
</w:styles>
</file>

<file path=word/webSettings.xml><?xml version="1.0" encoding="utf-8"?>
<w:webSettings xmlns:r="http://schemas.openxmlformats.org/officeDocument/2006/relationships" xmlns:w="http://schemas.openxmlformats.org/wordprocessingml/2006/main">
  <w:divs>
    <w:div w:id="46536396">
      <w:bodyDiv w:val="1"/>
      <w:marLeft w:val="0"/>
      <w:marRight w:val="0"/>
      <w:marTop w:val="0"/>
      <w:marBottom w:val="0"/>
      <w:divBdr>
        <w:top w:val="none" w:sz="0" w:space="0" w:color="auto"/>
        <w:left w:val="none" w:sz="0" w:space="0" w:color="auto"/>
        <w:bottom w:val="none" w:sz="0" w:space="0" w:color="auto"/>
        <w:right w:val="none" w:sz="0" w:space="0" w:color="auto"/>
      </w:divBdr>
    </w:div>
    <w:div w:id="72706718">
      <w:bodyDiv w:val="1"/>
      <w:marLeft w:val="0"/>
      <w:marRight w:val="0"/>
      <w:marTop w:val="0"/>
      <w:marBottom w:val="0"/>
      <w:divBdr>
        <w:top w:val="none" w:sz="0" w:space="0" w:color="auto"/>
        <w:left w:val="none" w:sz="0" w:space="0" w:color="auto"/>
        <w:bottom w:val="none" w:sz="0" w:space="0" w:color="auto"/>
        <w:right w:val="none" w:sz="0" w:space="0" w:color="auto"/>
      </w:divBdr>
    </w:div>
    <w:div w:id="93206543">
      <w:bodyDiv w:val="1"/>
      <w:marLeft w:val="0"/>
      <w:marRight w:val="0"/>
      <w:marTop w:val="0"/>
      <w:marBottom w:val="0"/>
      <w:divBdr>
        <w:top w:val="none" w:sz="0" w:space="0" w:color="auto"/>
        <w:left w:val="none" w:sz="0" w:space="0" w:color="auto"/>
        <w:bottom w:val="none" w:sz="0" w:space="0" w:color="auto"/>
        <w:right w:val="none" w:sz="0" w:space="0" w:color="auto"/>
      </w:divBdr>
    </w:div>
    <w:div w:id="188034061">
      <w:bodyDiv w:val="1"/>
      <w:marLeft w:val="0"/>
      <w:marRight w:val="0"/>
      <w:marTop w:val="0"/>
      <w:marBottom w:val="0"/>
      <w:divBdr>
        <w:top w:val="none" w:sz="0" w:space="0" w:color="auto"/>
        <w:left w:val="none" w:sz="0" w:space="0" w:color="auto"/>
        <w:bottom w:val="none" w:sz="0" w:space="0" w:color="auto"/>
        <w:right w:val="none" w:sz="0" w:space="0" w:color="auto"/>
      </w:divBdr>
    </w:div>
    <w:div w:id="274334223">
      <w:bodyDiv w:val="1"/>
      <w:marLeft w:val="0"/>
      <w:marRight w:val="0"/>
      <w:marTop w:val="0"/>
      <w:marBottom w:val="0"/>
      <w:divBdr>
        <w:top w:val="none" w:sz="0" w:space="0" w:color="auto"/>
        <w:left w:val="none" w:sz="0" w:space="0" w:color="auto"/>
        <w:bottom w:val="none" w:sz="0" w:space="0" w:color="auto"/>
        <w:right w:val="none" w:sz="0" w:space="0" w:color="auto"/>
      </w:divBdr>
    </w:div>
    <w:div w:id="320306574">
      <w:bodyDiv w:val="1"/>
      <w:marLeft w:val="0"/>
      <w:marRight w:val="0"/>
      <w:marTop w:val="0"/>
      <w:marBottom w:val="0"/>
      <w:divBdr>
        <w:top w:val="none" w:sz="0" w:space="0" w:color="auto"/>
        <w:left w:val="none" w:sz="0" w:space="0" w:color="auto"/>
        <w:bottom w:val="none" w:sz="0" w:space="0" w:color="auto"/>
        <w:right w:val="none" w:sz="0" w:space="0" w:color="auto"/>
      </w:divBdr>
    </w:div>
    <w:div w:id="326252924">
      <w:bodyDiv w:val="1"/>
      <w:marLeft w:val="0"/>
      <w:marRight w:val="0"/>
      <w:marTop w:val="0"/>
      <w:marBottom w:val="0"/>
      <w:divBdr>
        <w:top w:val="none" w:sz="0" w:space="0" w:color="auto"/>
        <w:left w:val="none" w:sz="0" w:space="0" w:color="auto"/>
        <w:bottom w:val="none" w:sz="0" w:space="0" w:color="auto"/>
        <w:right w:val="none" w:sz="0" w:space="0" w:color="auto"/>
      </w:divBdr>
    </w:div>
    <w:div w:id="345644792">
      <w:bodyDiv w:val="1"/>
      <w:marLeft w:val="0"/>
      <w:marRight w:val="0"/>
      <w:marTop w:val="0"/>
      <w:marBottom w:val="0"/>
      <w:divBdr>
        <w:top w:val="none" w:sz="0" w:space="0" w:color="auto"/>
        <w:left w:val="none" w:sz="0" w:space="0" w:color="auto"/>
        <w:bottom w:val="none" w:sz="0" w:space="0" w:color="auto"/>
        <w:right w:val="none" w:sz="0" w:space="0" w:color="auto"/>
      </w:divBdr>
    </w:div>
    <w:div w:id="435296534">
      <w:bodyDiv w:val="1"/>
      <w:marLeft w:val="0"/>
      <w:marRight w:val="0"/>
      <w:marTop w:val="0"/>
      <w:marBottom w:val="0"/>
      <w:divBdr>
        <w:top w:val="none" w:sz="0" w:space="0" w:color="auto"/>
        <w:left w:val="none" w:sz="0" w:space="0" w:color="auto"/>
        <w:bottom w:val="none" w:sz="0" w:space="0" w:color="auto"/>
        <w:right w:val="none" w:sz="0" w:space="0" w:color="auto"/>
      </w:divBdr>
    </w:div>
    <w:div w:id="468522662">
      <w:bodyDiv w:val="1"/>
      <w:marLeft w:val="0"/>
      <w:marRight w:val="0"/>
      <w:marTop w:val="0"/>
      <w:marBottom w:val="0"/>
      <w:divBdr>
        <w:top w:val="none" w:sz="0" w:space="0" w:color="auto"/>
        <w:left w:val="none" w:sz="0" w:space="0" w:color="auto"/>
        <w:bottom w:val="none" w:sz="0" w:space="0" w:color="auto"/>
        <w:right w:val="none" w:sz="0" w:space="0" w:color="auto"/>
      </w:divBdr>
    </w:div>
    <w:div w:id="547179725">
      <w:bodyDiv w:val="1"/>
      <w:marLeft w:val="0"/>
      <w:marRight w:val="0"/>
      <w:marTop w:val="0"/>
      <w:marBottom w:val="0"/>
      <w:divBdr>
        <w:top w:val="none" w:sz="0" w:space="0" w:color="auto"/>
        <w:left w:val="none" w:sz="0" w:space="0" w:color="auto"/>
        <w:bottom w:val="none" w:sz="0" w:space="0" w:color="auto"/>
        <w:right w:val="none" w:sz="0" w:space="0" w:color="auto"/>
      </w:divBdr>
    </w:div>
    <w:div w:id="598215694">
      <w:bodyDiv w:val="1"/>
      <w:marLeft w:val="0"/>
      <w:marRight w:val="0"/>
      <w:marTop w:val="0"/>
      <w:marBottom w:val="0"/>
      <w:divBdr>
        <w:top w:val="none" w:sz="0" w:space="0" w:color="auto"/>
        <w:left w:val="none" w:sz="0" w:space="0" w:color="auto"/>
        <w:bottom w:val="none" w:sz="0" w:space="0" w:color="auto"/>
        <w:right w:val="none" w:sz="0" w:space="0" w:color="auto"/>
      </w:divBdr>
    </w:div>
    <w:div w:id="619335804">
      <w:bodyDiv w:val="1"/>
      <w:marLeft w:val="0"/>
      <w:marRight w:val="0"/>
      <w:marTop w:val="0"/>
      <w:marBottom w:val="0"/>
      <w:divBdr>
        <w:top w:val="none" w:sz="0" w:space="0" w:color="auto"/>
        <w:left w:val="none" w:sz="0" w:space="0" w:color="auto"/>
        <w:bottom w:val="none" w:sz="0" w:space="0" w:color="auto"/>
        <w:right w:val="none" w:sz="0" w:space="0" w:color="auto"/>
      </w:divBdr>
    </w:div>
    <w:div w:id="623393373">
      <w:bodyDiv w:val="1"/>
      <w:marLeft w:val="0"/>
      <w:marRight w:val="0"/>
      <w:marTop w:val="0"/>
      <w:marBottom w:val="0"/>
      <w:divBdr>
        <w:top w:val="none" w:sz="0" w:space="0" w:color="auto"/>
        <w:left w:val="none" w:sz="0" w:space="0" w:color="auto"/>
        <w:bottom w:val="none" w:sz="0" w:space="0" w:color="auto"/>
        <w:right w:val="none" w:sz="0" w:space="0" w:color="auto"/>
      </w:divBdr>
    </w:div>
    <w:div w:id="635069903">
      <w:bodyDiv w:val="1"/>
      <w:marLeft w:val="0"/>
      <w:marRight w:val="0"/>
      <w:marTop w:val="0"/>
      <w:marBottom w:val="0"/>
      <w:divBdr>
        <w:top w:val="none" w:sz="0" w:space="0" w:color="auto"/>
        <w:left w:val="none" w:sz="0" w:space="0" w:color="auto"/>
        <w:bottom w:val="none" w:sz="0" w:space="0" w:color="auto"/>
        <w:right w:val="none" w:sz="0" w:space="0" w:color="auto"/>
      </w:divBdr>
    </w:div>
    <w:div w:id="674190722">
      <w:bodyDiv w:val="1"/>
      <w:marLeft w:val="0"/>
      <w:marRight w:val="0"/>
      <w:marTop w:val="0"/>
      <w:marBottom w:val="0"/>
      <w:divBdr>
        <w:top w:val="none" w:sz="0" w:space="0" w:color="auto"/>
        <w:left w:val="none" w:sz="0" w:space="0" w:color="auto"/>
        <w:bottom w:val="none" w:sz="0" w:space="0" w:color="auto"/>
        <w:right w:val="none" w:sz="0" w:space="0" w:color="auto"/>
      </w:divBdr>
    </w:div>
    <w:div w:id="695617591">
      <w:bodyDiv w:val="1"/>
      <w:marLeft w:val="0"/>
      <w:marRight w:val="0"/>
      <w:marTop w:val="0"/>
      <w:marBottom w:val="0"/>
      <w:divBdr>
        <w:top w:val="none" w:sz="0" w:space="0" w:color="auto"/>
        <w:left w:val="none" w:sz="0" w:space="0" w:color="auto"/>
        <w:bottom w:val="none" w:sz="0" w:space="0" w:color="auto"/>
        <w:right w:val="none" w:sz="0" w:space="0" w:color="auto"/>
      </w:divBdr>
    </w:div>
    <w:div w:id="810253349">
      <w:bodyDiv w:val="1"/>
      <w:marLeft w:val="0"/>
      <w:marRight w:val="0"/>
      <w:marTop w:val="0"/>
      <w:marBottom w:val="0"/>
      <w:divBdr>
        <w:top w:val="none" w:sz="0" w:space="0" w:color="auto"/>
        <w:left w:val="none" w:sz="0" w:space="0" w:color="auto"/>
        <w:bottom w:val="none" w:sz="0" w:space="0" w:color="auto"/>
        <w:right w:val="none" w:sz="0" w:space="0" w:color="auto"/>
      </w:divBdr>
    </w:div>
    <w:div w:id="879511335">
      <w:bodyDiv w:val="1"/>
      <w:marLeft w:val="0"/>
      <w:marRight w:val="0"/>
      <w:marTop w:val="0"/>
      <w:marBottom w:val="0"/>
      <w:divBdr>
        <w:top w:val="none" w:sz="0" w:space="0" w:color="auto"/>
        <w:left w:val="none" w:sz="0" w:space="0" w:color="auto"/>
        <w:bottom w:val="none" w:sz="0" w:space="0" w:color="auto"/>
        <w:right w:val="none" w:sz="0" w:space="0" w:color="auto"/>
      </w:divBdr>
    </w:div>
    <w:div w:id="937173799">
      <w:bodyDiv w:val="1"/>
      <w:marLeft w:val="0"/>
      <w:marRight w:val="0"/>
      <w:marTop w:val="0"/>
      <w:marBottom w:val="0"/>
      <w:divBdr>
        <w:top w:val="none" w:sz="0" w:space="0" w:color="auto"/>
        <w:left w:val="none" w:sz="0" w:space="0" w:color="auto"/>
        <w:bottom w:val="none" w:sz="0" w:space="0" w:color="auto"/>
        <w:right w:val="none" w:sz="0" w:space="0" w:color="auto"/>
      </w:divBdr>
    </w:div>
    <w:div w:id="1112087136">
      <w:bodyDiv w:val="1"/>
      <w:marLeft w:val="0"/>
      <w:marRight w:val="0"/>
      <w:marTop w:val="0"/>
      <w:marBottom w:val="0"/>
      <w:divBdr>
        <w:top w:val="none" w:sz="0" w:space="0" w:color="auto"/>
        <w:left w:val="none" w:sz="0" w:space="0" w:color="auto"/>
        <w:bottom w:val="none" w:sz="0" w:space="0" w:color="auto"/>
        <w:right w:val="none" w:sz="0" w:space="0" w:color="auto"/>
      </w:divBdr>
    </w:div>
    <w:div w:id="1209563318">
      <w:bodyDiv w:val="1"/>
      <w:marLeft w:val="0"/>
      <w:marRight w:val="0"/>
      <w:marTop w:val="0"/>
      <w:marBottom w:val="0"/>
      <w:divBdr>
        <w:top w:val="none" w:sz="0" w:space="0" w:color="auto"/>
        <w:left w:val="none" w:sz="0" w:space="0" w:color="auto"/>
        <w:bottom w:val="none" w:sz="0" w:space="0" w:color="auto"/>
        <w:right w:val="none" w:sz="0" w:space="0" w:color="auto"/>
      </w:divBdr>
    </w:div>
    <w:div w:id="1222785163">
      <w:bodyDiv w:val="1"/>
      <w:marLeft w:val="0"/>
      <w:marRight w:val="0"/>
      <w:marTop w:val="0"/>
      <w:marBottom w:val="0"/>
      <w:divBdr>
        <w:top w:val="none" w:sz="0" w:space="0" w:color="auto"/>
        <w:left w:val="none" w:sz="0" w:space="0" w:color="auto"/>
        <w:bottom w:val="none" w:sz="0" w:space="0" w:color="auto"/>
        <w:right w:val="none" w:sz="0" w:space="0" w:color="auto"/>
      </w:divBdr>
    </w:div>
    <w:div w:id="1245382179">
      <w:bodyDiv w:val="1"/>
      <w:marLeft w:val="0"/>
      <w:marRight w:val="0"/>
      <w:marTop w:val="0"/>
      <w:marBottom w:val="0"/>
      <w:divBdr>
        <w:top w:val="none" w:sz="0" w:space="0" w:color="auto"/>
        <w:left w:val="none" w:sz="0" w:space="0" w:color="auto"/>
        <w:bottom w:val="none" w:sz="0" w:space="0" w:color="auto"/>
        <w:right w:val="none" w:sz="0" w:space="0" w:color="auto"/>
      </w:divBdr>
    </w:div>
    <w:div w:id="1451825708">
      <w:bodyDiv w:val="1"/>
      <w:marLeft w:val="0"/>
      <w:marRight w:val="0"/>
      <w:marTop w:val="0"/>
      <w:marBottom w:val="0"/>
      <w:divBdr>
        <w:top w:val="none" w:sz="0" w:space="0" w:color="auto"/>
        <w:left w:val="none" w:sz="0" w:space="0" w:color="auto"/>
        <w:bottom w:val="none" w:sz="0" w:space="0" w:color="auto"/>
        <w:right w:val="none" w:sz="0" w:space="0" w:color="auto"/>
      </w:divBdr>
    </w:div>
    <w:div w:id="1593968495">
      <w:bodyDiv w:val="1"/>
      <w:marLeft w:val="0"/>
      <w:marRight w:val="0"/>
      <w:marTop w:val="0"/>
      <w:marBottom w:val="0"/>
      <w:divBdr>
        <w:top w:val="none" w:sz="0" w:space="0" w:color="auto"/>
        <w:left w:val="none" w:sz="0" w:space="0" w:color="auto"/>
        <w:bottom w:val="none" w:sz="0" w:space="0" w:color="auto"/>
        <w:right w:val="none" w:sz="0" w:space="0" w:color="auto"/>
      </w:divBdr>
    </w:div>
    <w:div w:id="1668098527">
      <w:bodyDiv w:val="1"/>
      <w:marLeft w:val="0"/>
      <w:marRight w:val="0"/>
      <w:marTop w:val="0"/>
      <w:marBottom w:val="0"/>
      <w:divBdr>
        <w:top w:val="none" w:sz="0" w:space="0" w:color="auto"/>
        <w:left w:val="none" w:sz="0" w:space="0" w:color="auto"/>
        <w:bottom w:val="none" w:sz="0" w:space="0" w:color="auto"/>
        <w:right w:val="none" w:sz="0" w:space="0" w:color="auto"/>
      </w:divBdr>
    </w:div>
    <w:div w:id="1820875900">
      <w:bodyDiv w:val="1"/>
      <w:marLeft w:val="0"/>
      <w:marRight w:val="0"/>
      <w:marTop w:val="0"/>
      <w:marBottom w:val="0"/>
      <w:divBdr>
        <w:top w:val="none" w:sz="0" w:space="0" w:color="auto"/>
        <w:left w:val="none" w:sz="0" w:space="0" w:color="auto"/>
        <w:bottom w:val="none" w:sz="0" w:space="0" w:color="auto"/>
        <w:right w:val="none" w:sz="0" w:space="0" w:color="auto"/>
      </w:divBdr>
    </w:div>
    <w:div w:id="1822228874">
      <w:bodyDiv w:val="1"/>
      <w:marLeft w:val="0"/>
      <w:marRight w:val="0"/>
      <w:marTop w:val="0"/>
      <w:marBottom w:val="0"/>
      <w:divBdr>
        <w:top w:val="none" w:sz="0" w:space="0" w:color="auto"/>
        <w:left w:val="none" w:sz="0" w:space="0" w:color="auto"/>
        <w:bottom w:val="none" w:sz="0" w:space="0" w:color="auto"/>
        <w:right w:val="none" w:sz="0" w:space="0" w:color="auto"/>
      </w:divBdr>
    </w:div>
    <w:div w:id="1932160640">
      <w:bodyDiv w:val="1"/>
      <w:marLeft w:val="0"/>
      <w:marRight w:val="0"/>
      <w:marTop w:val="0"/>
      <w:marBottom w:val="0"/>
      <w:divBdr>
        <w:top w:val="none" w:sz="0" w:space="0" w:color="auto"/>
        <w:left w:val="none" w:sz="0" w:space="0" w:color="auto"/>
        <w:bottom w:val="none" w:sz="0" w:space="0" w:color="auto"/>
        <w:right w:val="none" w:sz="0" w:space="0" w:color="auto"/>
      </w:divBdr>
    </w:div>
    <w:div w:id="2048606969">
      <w:bodyDiv w:val="1"/>
      <w:marLeft w:val="0"/>
      <w:marRight w:val="0"/>
      <w:marTop w:val="0"/>
      <w:marBottom w:val="0"/>
      <w:divBdr>
        <w:top w:val="none" w:sz="0" w:space="0" w:color="auto"/>
        <w:left w:val="none" w:sz="0" w:space="0" w:color="auto"/>
        <w:bottom w:val="none" w:sz="0" w:space="0" w:color="auto"/>
        <w:right w:val="none" w:sz="0" w:space="0" w:color="auto"/>
      </w:divBdr>
    </w:div>
    <w:div w:id="2127574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3.xml"/><Relationship Id="rId18" Type="http://schemas.openxmlformats.org/officeDocument/2006/relationships/fontTable" Target="fontTable.xml"/><Relationship Id="rId3" Type="http://schemas.openxmlformats.org/officeDocument/2006/relationships/styles" Target="styles.xml"/><Relationship Id="rId21" Type="http://schemas.microsoft.com/office/2016/09/relationships/commentsIds" Target="commentsIds.xml"/><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hyperlink" Target="https://agriculture.wallonie.be/economie-agricole-wallonne" TargetMode="External"/><Relationship Id="rId10" Type="http://schemas.openxmlformats.org/officeDocument/2006/relationships/image" Target="media/image3.em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chart" Target="charts/chart4.xml"/><Relationship Id="rId22" Type="http://schemas.microsoft.com/office/2011/relationships/people" Target="people.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agriculture.wallonie.be/archives" TargetMode="External"/><Relationship Id="rId1" Type="http://schemas.openxmlformats.org/officeDocument/2006/relationships/hyperlink" Target="https://agriculture.wallonie.be/evolution-de-l-economie-agricole-et-horticole-wallonn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wallonie.intra\Partages\Hierarchique\PUB-O3020100\!Data-Namur\Repertoire%20personnel\Delfosse\Resultats%20anticipes\Resultats%202018_temp.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oleObject" Target="file:///\\wallonie.intra\Partages\Hierarchique\PUB-O3020100\!Data-Namur\Repertoire%20personnel\Delfosse\Resultats%20anticipes\Resultats%202018_temp.xlsx" TargetMode="External"/></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oleObject" Target="file:///\\wallonie.intra\Partages\Hierarchique\PUB-O3020100\!Data-Namur\Repertoire%20personnel\Delfosse\Resultats%20anticipes\Resultats%202018_temp.xlsx" TargetMode="External"/></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oleObject" Target="file:///\\wallonie.intra\Partages\Hierarchique\PUB-O3020100\!Data-Namur\Repertoire%20personnel\Delfosse\Resultats%20anticipes\Resultats%202018_temp.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fr-BE"/>
  <c:chart>
    <c:autoTitleDeleted val="1"/>
    <c:plotArea>
      <c:layout/>
      <c:lineChart>
        <c:grouping val="standard"/>
        <c:ser>
          <c:idx val="5"/>
          <c:order val="0"/>
          <c:tx>
            <c:strRef>
              <c:f>'Evolution du revenu'!$D$2</c:f>
              <c:strCache>
                <c:ptCount val="1"/>
                <c:pt idx="0">
                  <c:v>Grandes cultures</c:v>
                </c:pt>
              </c:strCache>
            </c:strRef>
          </c:tx>
          <c:spPr>
            <a:ln w="34925" cap="rnd">
              <a:solidFill>
                <a:schemeClr val="accent6"/>
              </a:solidFill>
              <a:round/>
            </a:ln>
            <a:effectLst>
              <a:outerShdw blurRad="40000" dist="23000" dir="5400000" rotWithShape="0">
                <a:srgbClr val="000000">
                  <a:alpha val="35000"/>
                </a:srgbClr>
              </a:outerShdw>
            </a:effectLst>
          </c:spPr>
          <c:marker>
            <c:symbol val="none"/>
          </c:marker>
          <c:cat>
            <c:strRef>
              <c:f>'Evolution du revenu'!$A$3:$B$19</c:f>
              <c:strCache>
                <c:ptCount val="9"/>
                <c:pt idx="0">
                  <c:v>2010</c:v>
                </c:pt>
                <c:pt idx="1">
                  <c:v>2011</c:v>
                </c:pt>
                <c:pt idx="2">
                  <c:v>2012</c:v>
                </c:pt>
                <c:pt idx="3">
                  <c:v>2013</c:v>
                </c:pt>
                <c:pt idx="4">
                  <c:v>2014</c:v>
                </c:pt>
                <c:pt idx="5">
                  <c:v>2015</c:v>
                </c:pt>
                <c:pt idx="6">
                  <c:v>2016</c:v>
                </c:pt>
                <c:pt idx="7">
                  <c:v>2017</c:v>
                </c:pt>
                <c:pt idx="8">
                  <c:v>2018 prov</c:v>
                </c:pt>
              </c:strCache>
            </c:strRef>
          </c:cat>
          <c:val>
            <c:numRef>
              <c:f>'Evolution du revenu'!$D$3:$D$19</c:f>
              <c:numCache>
                <c:formatCode>General</c:formatCode>
                <c:ptCount val="9"/>
                <c:pt idx="0">
                  <c:v>733.03083011197293</c:v>
                </c:pt>
                <c:pt idx="1">
                  <c:v>725.64961287437848</c:v>
                </c:pt>
                <c:pt idx="2">
                  <c:v>887.2512048538822</c:v>
                </c:pt>
                <c:pt idx="3">
                  <c:v>778.33998656961853</c:v>
                </c:pt>
                <c:pt idx="4">
                  <c:v>483.77175489248503</c:v>
                </c:pt>
                <c:pt idx="5">
                  <c:v>463.85310421853569</c:v>
                </c:pt>
                <c:pt idx="6">
                  <c:v>312.51668099376423</c:v>
                </c:pt>
                <c:pt idx="7">
                  <c:v>515.66046536726253</c:v>
                </c:pt>
                <c:pt idx="8">
                  <c:v>718.34391217159782</c:v>
                </c:pt>
              </c:numCache>
            </c:numRef>
          </c:val>
          <c:extLst xmlns:c16r2="http://schemas.microsoft.com/office/drawing/2015/06/chart">
            <c:ext xmlns:c16="http://schemas.microsoft.com/office/drawing/2014/chart" uri="{C3380CC4-5D6E-409C-BE32-E72D297353CC}">
              <c16:uniqueId val="{00000001-C378-49BE-BF8F-A0D82067A167}"/>
            </c:ext>
          </c:extLst>
        </c:ser>
        <c:ser>
          <c:idx val="6"/>
          <c:order val="1"/>
          <c:tx>
            <c:strRef>
              <c:f>'Evolution du revenu'!$E$2</c:f>
              <c:strCache>
                <c:ptCount val="1"/>
                <c:pt idx="0">
                  <c:v>Bovins lait</c:v>
                </c:pt>
              </c:strCache>
            </c:strRef>
          </c:tx>
          <c:spPr>
            <a:ln w="34925" cap="rnd">
              <a:solidFill>
                <a:schemeClr val="accent1">
                  <a:lumMod val="60000"/>
                </a:schemeClr>
              </a:solidFill>
              <a:round/>
            </a:ln>
            <a:effectLst>
              <a:outerShdw blurRad="40000" dist="23000" dir="5400000" rotWithShape="0">
                <a:srgbClr val="000000">
                  <a:alpha val="35000"/>
                </a:srgbClr>
              </a:outerShdw>
            </a:effectLst>
          </c:spPr>
          <c:marker>
            <c:symbol val="none"/>
          </c:marker>
          <c:cat>
            <c:strRef>
              <c:f>'Evolution du revenu'!$A$3:$B$19</c:f>
              <c:strCache>
                <c:ptCount val="9"/>
                <c:pt idx="0">
                  <c:v>2010</c:v>
                </c:pt>
                <c:pt idx="1">
                  <c:v>2011</c:v>
                </c:pt>
                <c:pt idx="2">
                  <c:v>2012</c:v>
                </c:pt>
                <c:pt idx="3">
                  <c:v>2013</c:v>
                </c:pt>
                <c:pt idx="4">
                  <c:v>2014</c:v>
                </c:pt>
                <c:pt idx="5">
                  <c:v>2015</c:v>
                </c:pt>
                <c:pt idx="6">
                  <c:v>2016</c:v>
                </c:pt>
                <c:pt idx="7">
                  <c:v>2017</c:v>
                </c:pt>
                <c:pt idx="8">
                  <c:v>2018 prov</c:v>
                </c:pt>
              </c:strCache>
            </c:strRef>
          </c:cat>
          <c:val>
            <c:numRef>
              <c:f>'Evolution du revenu'!$E$3:$E$19</c:f>
              <c:numCache>
                <c:formatCode>General</c:formatCode>
                <c:ptCount val="9"/>
                <c:pt idx="0">
                  <c:v>604.9750736780868</c:v>
                </c:pt>
                <c:pt idx="1">
                  <c:v>775.90874057988583</c:v>
                </c:pt>
                <c:pt idx="2">
                  <c:v>419.82662873696404</c:v>
                </c:pt>
                <c:pt idx="3">
                  <c:v>680.6906958832601</c:v>
                </c:pt>
                <c:pt idx="4">
                  <c:v>773.15993037967712</c:v>
                </c:pt>
                <c:pt idx="5">
                  <c:v>356.70981964130334</c:v>
                </c:pt>
                <c:pt idx="6">
                  <c:v>176.8920844467041</c:v>
                </c:pt>
                <c:pt idx="7">
                  <c:v>783.38162578987726</c:v>
                </c:pt>
                <c:pt idx="8">
                  <c:v>467.07873530892203</c:v>
                </c:pt>
              </c:numCache>
            </c:numRef>
          </c:val>
          <c:extLst xmlns:c16r2="http://schemas.microsoft.com/office/drawing/2015/06/chart">
            <c:ext xmlns:c16="http://schemas.microsoft.com/office/drawing/2014/chart" uri="{C3380CC4-5D6E-409C-BE32-E72D297353CC}">
              <c16:uniqueId val="{00000002-C378-49BE-BF8F-A0D82067A167}"/>
            </c:ext>
          </c:extLst>
        </c:ser>
        <c:ser>
          <c:idx val="7"/>
          <c:order val="2"/>
          <c:tx>
            <c:strRef>
              <c:f>'Evolution du revenu'!$F$2</c:f>
              <c:strCache>
                <c:ptCount val="1"/>
                <c:pt idx="0">
                  <c:v>Bovins viande</c:v>
                </c:pt>
              </c:strCache>
            </c:strRef>
          </c:tx>
          <c:spPr>
            <a:ln w="34925" cap="rnd">
              <a:solidFill>
                <a:schemeClr val="accent2">
                  <a:lumMod val="60000"/>
                </a:schemeClr>
              </a:solidFill>
              <a:round/>
            </a:ln>
            <a:effectLst>
              <a:outerShdw blurRad="40000" dist="23000" dir="5400000" rotWithShape="0">
                <a:srgbClr val="000000">
                  <a:alpha val="35000"/>
                </a:srgbClr>
              </a:outerShdw>
            </a:effectLst>
          </c:spPr>
          <c:marker>
            <c:symbol val="none"/>
          </c:marker>
          <c:cat>
            <c:strRef>
              <c:f>'Evolution du revenu'!$A$3:$B$19</c:f>
              <c:strCache>
                <c:ptCount val="9"/>
                <c:pt idx="0">
                  <c:v>2010</c:v>
                </c:pt>
                <c:pt idx="1">
                  <c:v>2011</c:v>
                </c:pt>
                <c:pt idx="2">
                  <c:v>2012</c:v>
                </c:pt>
                <c:pt idx="3">
                  <c:v>2013</c:v>
                </c:pt>
                <c:pt idx="4">
                  <c:v>2014</c:v>
                </c:pt>
                <c:pt idx="5">
                  <c:v>2015</c:v>
                </c:pt>
                <c:pt idx="6">
                  <c:v>2016</c:v>
                </c:pt>
                <c:pt idx="7">
                  <c:v>2017</c:v>
                </c:pt>
                <c:pt idx="8">
                  <c:v>2018 prov</c:v>
                </c:pt>
              </c:strCache>
            </c:strRef>
          </c:cat>
          <c:val>
            <c:numRef>
              <c:f>'Evolution du revenu'!$F$3:$F$19</c:f>
              <c:numCache>
                <c:formatCode>General</c:formatCode>
                <c:ptCount val="9"/>
                <c:pt idx="0">
                  <c:v>281.52999041293396</c:v>
                </c:pt>
                <c:pt idx="1">
                  <c:v>218.76182191691964</c:v>
                </c:pt>
                <c:pt idx="2">
                  <c:v>157.6802695899942</c:v>
                </c:pt>
                <c:pt idx="3">
                  <c:v>193.59539392087709</c:v>
                </c:pt>
                <c:pt idx="4">
                  <c:v>193.61374872275277</c:v>
                </c:pt>
                <c:pt idx="5">
                  <c:v>135.22497052336959</c:v>
                </c:pt>
                <c:pt idx="6">
                  <c:v>179.92350129682183</c:v>
                </c:pt>
                <c:pt idx="7">
                  <c:v>8.017993103114506</c:v>
                </c:pt>
                <c:pt idx="8">
                  <c:v>43.759847434685319</c:v>
                </c:pt>
              </c:numCache>
            </c:numRef>
          </c:val>
          <c:extLst xmlns:c16r2="http://schemas.microsoft.com/office/drawing/2015/06/chart">
            <c:ext xmlns:c16="http://schemas.microsoft.com/office/drawing/2014/chart" uri="{C3380CC4-5D6E-409C-BE32-E72D297353CC}">
              <c16:uniqueId val="{00000003-C378-49BE-BF8F-A0D82067A167}"/>
            </c:ext>
          </c:extLst>
        </c:ser>
        <c:ser>
          <c:idx val="8"/>
          <c:order val="3"/>
          <c:tx>
            <c:strRef>
              <c:f>'Evolution du revenu'!$G$2</c:f>
              <c:strCache>
                <c:ptCount val="1"/>
                <c:pt idx="0">
                  <c:v>Bovins mixtes</c:v>
                </c:pt>
              </c:strCache>
            </c:strRef>
          </c:tx>
          <c:spPr>
            <a:ln w="34925" cap="rnd">
              <a:solidFill>
                <a:schemeClr val="accent3">
                  <a:lumMod val="60000"/>
                </a:schemeClr>
              </a:solidFill>
              <a:round/>
            </a:ln>
            <a:effectLst>
              <a:outerShdw blurRad="40000" dist="23000" dir="5400000" rotWithShape="0">
                <a:srgbClr val="000000">
                  <a:alpha val="35000"/>
                </a:srgbClr>
              </a:outerShdw>
            </a:effectLst>
          </c:spPr>
          <c:marker>
            <c:symbol val="none"/>
          </c:marker>
          <c:cat>
            <c:strRef>
              <c:f>'Evolution du revenu'!$A$3:$B$19</c:f>
              <c:strCache>
                <c:ptCount val="9"/>
                <c:pt idx="0">
                  <c:v>2010</c:v>
                </c:pt>
                <c:pt idx="1">
                  <c:v>2011</c:v>
                </c:pt>
                <c:pt idx="2">
                  <c:v>2012</c:v>
                </c:pt>
                <c:pt idx="3">
                  <c:v>2013</c:v>
                </c:pt>
                <c:pt idx="4">
                  <c:v>2014</c:v>
                </c:pt>
                <c:pt idx="5">
                  <c:v>2015</c:v>
                </c:pt>
                <c:pt idx="6">
                  <c:v>2016</c:v>
                </c:pt>
                <c:pt idx="7">
                  <c:v>2017</c:v>
                </c:pt>
                <c:pt idx="8">
                  <c:v>2018 prov</c:v>
                </c:pt>
              </c:strCache>
            </c:strRef>
          </c:cat>
          <c:val>
            <c:numRef>
              <c:f>'Evolution du revenu'!$G$3:$G$19</c:f>
              <c:numCache>
                <c:formatCode>General</c:formatCode>
                <c:ptCount val="9"/>
                <c:pt idx="0">
                  <c:v>514.85933138566543</c:v>
                </c:pt>
                <c:pt idx="1">
                  <c:v>568.28493358739922</c:v>
                </c:pt>
                <c:pt idx="2">
                  <c:v>360.60401985830674</c:v>
                </c:pt>
                <c:pt idx="3">
                  <c:v>479.4685304592831</c:v>
                </c:pt>
                <c:pt idx="4">
                  <c:v>489.34965832408648</c:v>
                </c:pt>
                <c:pt idx="5">
                  <c:v>215.78747475709372</c:v>
                </c:pt>
                <c:pt idx="6">
                  <c:v>219.84981792876098</c:v>
                </c:pt>
                <c:pt idx="7">
                  <c:v>394.99226413996934</c:v>
                </c:pt>
                <c:pt idx="8">
                  <c:v>284.08295108046332</c:v>
                </c:pt>
              </c:numCache>
            </c:numRef>
          </c:val>
          <c:extLst xmlns:c16r2="http://schemas.microsoft.com/office/drawing/2015/06/chart">
            <c:ext xmlns:c16="http://schemas.microsoft.com/office/drawing/2014/chart" uri="{C3380CC4-5D6E-409C-BE32-E72D297353CC}">
              <c16:uniqueId val="{00000004-C378-49BE-BF8F-A0D82067A167}"/>
            </c:ext>
          </c:extLst>
        </c:ser>
        <c:marker val="1"/>
        <c:axId val="60212736"/>
        <c:axId val="60214272"/>
      </c:lineChart>
      <c:catAx>
        <c:axId val="60212736"/>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214272"/>
        <c:crosses val="autoZero"/>
        <c:auto val="1"/>
        <c:lblAlgn val="ctr"/>
        <c:lblOffset val="100"/>
      </c:catAx>
      <c:valAx>
        <c:axId val="60214272"/>
        <c:scaling>
          <c:orientation val="minMax"/>
          <c:max val="900"/>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€/ha</a:t>
                </a:r>
              </a:p>
            </c:rich>
          </c:tx>
          <c:layout>
            <c:manualLayout>
              <c:xMode val="edge"/>
              <c:yMode val="edge"/>
              <c:x val="1.1681268251981668E-2"/>
              <c:y val="0.44546510633539227"/>
            </c:manualLayout>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212736"/>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fr-BE"/>
  <c:chart>
    <c:autoTitleDeleted val="1"/>
    <c:plotArea>
      <c:layout/>
      <c:lineChart>
        <c:grouping val="standard"/>
        <c:ser>
          <c:idx val="0"/>
          <c:order val="0"/>
          <c:tx>
            <c:strRef>
              <c:f>céréales!$A$1</c:f>
              <c:strCache>
                <c:ptCount val="1"/>
                <c:pt idx="0">
                  <c:v>Froment</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numRef>
              <c:f>céréales!$B$1:$J$1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céréales!$B$7:$J$7</c:f>
              <c:numCache>
                <c:formatCode>#,##0</c:formatCode>
                <c:ptCount val="9"/>
                <c:pt idx="0" formatCode="General">
                  <c:v>1181</c:v>
                </c:pt>
                <c:pt idx="1">
                  <c:v>997</c:v>
                </c:pt>
                <c:pt idx="2" formatCode="General">
                  <c:v>1242</c:v>
                </c:pt>
                <c:pt idx="3">
                  <c:v>1013</c:v>
                </c:pt>
                <c:pt idx="4" formatCode="General">
                  <c:v>781</c:v>
                </c:pt>
                <c:pt idx="5" formatCode="General">
                  <c:v>760</c:v>
                </c:pt>
                <c:pt idx="6" formatCode="General">
                  <c:v>421</c:v>
                </c:pt>
                <c:pt idx="7">
                  <c:v>739</c:v>
                </c:pt>
                <c:pt idx="8">
                  <c:v>1065.6288933575224</c:v>
                </c:pt>
              </c:numCache>
            </c:numRef>
          </c:val>
          <c:extLst xmlns:c16r2="http://schemas.microsoft.com/office/drawing/2015/06/chart">
            <c:ext xmlns:c16="http://schemas.microsoft.com/office/drawing/2014/chart" uri="{C3380CC4-5D6E-409C-BE32-E72D297353CC}">
              <c16:uniqueId val="{00000000-D85E-4D65-A35B-6DC85841C92A}"/>
            </c:ext>
          </c:extLst>
        </c:ser>
        <c:ser>
          <c:idx val="1"/>
          <c:order val="1"/>
          <c:tx>
            <c:strRef>
              <c:f>céréales!$A$14</c:f>
              <c:strCache>
                <c:ptCount val="1"/>
                <c:pt idx="0">
                  <c:v>Betteraves sucrières</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cat>
            <c:numRef>
              <c:f>céréales!$B$1:$J$1</c:f>
              <c:numCache>
                <c:formatCode>General</c:formatCode>
                <c:ptCount val="9"/>
                <c:pt idx="0">
                  <c:v>2010</c:v>
                </c:pt>
                <c:pt idx="1">
                  <c:v>2011</c:v>
                </c:pt>
                <c:pt idx="2">
                  <c:v>2012</c:v>
                </c:pt>
                <c:pt idx="3">
                  <c:v>2013</c:v>
                </c:pt>
                <c:pt idx="4">
                  <c:v>2014</c:v>
                </c:pt>
                <c:pt idx="5">
                  <c:v>2015</c:v>
                </c:pt>
                <c:pt idx="6">
                  <c:v>2016</c:v>
                </c:pt>
                <c:pt idx="7">
                  <c:v>2017</c:v>
                </c:pt>
                <c:pt idx="8">
                  <c:v>2018</c:v>
                </c:pt>
              </c:numCache>
            </c:numRef>
          </c:cat>
          <c:val>
            <c:numRef>
              <c:f>céréales!$B$21:$J$21</c:f>
              <c:numCache>
                <c:formatCode>#,##0</c:formatCode>
                <c:ptCount val="9"/>
                <c:pt idx="0" formatCode="General">
                  <c:v>1147</c:v>
                </c:pt>
                <c:pt idx="1">
                  <c:v>2521</c:v>
                </c:pt>
                <c:pt idx="2" formatCode="General">
                  <c:v>2236</c:v>
                </c:pt>
                <c:pt idx="3">
                  <c:v>1963</c:v>
                </c:pt>
                <c:pt idx="4">
                  <c:v>1575</c:v>
                </c:pt>
                <c:pt idx="5">
                  <c:v>1493</c:v>
                </c:pt>
                <c:pt idx="6">
                  <c:v>1119</c:v>
                </c:pt>
                <c:pt idx="7">
                  <c:v>1265</c:v>
                </c:pt>
                <c:pt idx="8">
                  <c:v>776.51805830738806</c:v>
                </c:pt>
              </c:numCache>
            </c:numRef>
          </c:val>
          <c:extLst xmlns:c16r2="http://schemas.microsoft.com/office/drawing/2015/06/chart">
            <c:ext xmlns:c16="http://schemas.microsoft.com/office/drawing/2014/chart" uri="{C3380CC4-5D6E-409C-BE32-E72D297353CC}">
              <c16:uniqueId val="{00000001-D85E-4D65-A35B-6DC85841C92A}"/>
            </c:ext>
          </c:extLst>
        </c:ser>
        <c:marker val="1"/>
        <c:axId val="60643584"/>
        <c:axId val="60661760"/>
      </c:lineChart>
      <c:catAx>
        <c:axId val="60643584"/>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661760"/>
        <c:crosses val="autoZero"/>
        <c:auto val="1"/>
        <c:lblAlgn val="ctr"/>
        <c:lblOffset val="100"/>
      </c:catAx>
      <c:valAx>
        <c:axId val="606617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€/ha</a:t>
                </a:r>
              </a:p>
            </c:rich>
          </c:tx>
          <c:layout/>
          <c:spPr>
            <a:noFill/>
            <a:ln>
              <a:noFill/>
            </a:ln>
            <a:effectLst/>
          </c:spPr>
        </c:title>
        <c:numFmt formatCode="General"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643584"/>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fr-BE"/>
  <c:chart>
    <c:autoTitleDeleted val="1"/>
    <c:plotArea>
      <c:layout/>
      <c:lineChart>
        <c:grouping val="standard"/>
        <c:ser>
          <c:idx val="0"/>
          <c:order val="0"/>
          <c:tx>
            <c:strRef>
              <c:f>'Marge brute lait_viande'!$A$4</c:f>
              <c:strCache>
                <c:ptCount val="1"/>
                <c:pt idx="0">
                  <c:v>Marge brute du lait</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'Marge brute lait_viande'!$B$1:$J$1</c:f>
              <c:strCache>
                <c:ptCount val="9"/>
                <c:pt idx="0">
                  <c:v>2010</c:v>
                </c:pt>
                <c:pt idx="1">
                  <c:v>2011</c:v>
                </c:pt>
                <c:pt idx="2">
                  <c:v>2012</c:v>
                </c:pt>
                <c:pt idx="3">
                  <c:v>2013</c:v>
                </c:pt>
                <c:pt idx="4">
                  <c:v>2014</c:v>
                </c:pt>
                <c:pt idx="5">
                  <c:v>2015</c:v>
                </c:pt>
                <c:pt idx="6">
                  <c:v>2016</c:v>
                </c:pt>
                <c:pt idx="7">
                  <c:v>2017</c:v>
                </c:pt>
                <c:pt idx="8">
                  <c:v>2018 prov</c:v>
                </c:pt>
              </c:strCache>
            </c:strRef>
          </c:cat>
          <c:val>
            <c:numRef>
              <c:f>'Marge brute lait_viande'!$B$4:$J$4</c:f>
              <c:numCache>
                <c:formatCode>0.0</c:formatCode>
                <c:ptCount val="9"/>
                <c:pt idx="0">
                  <c:v>23.300000000000004</c:v>
                </c:pt>
                <c:pt idx="1">
                  <c:v>24.6</c:v>
                </c:pt>
                <c:pt idx="2">
                  <c:v>20.8</c:v>
                </c:pt>
                <c:pt idx="3">
                  <c:v>27.300000000000004</c:v>
                </c:pt>
                <c:pt idx="4">
                  <c:v>27.4</c:v>
                </c:pt>
                <c:pt idx="5">
                  <c:v>20.459999999999987</c:v>
                </c:pt>
                <c:pt idx="6">
                  <c:v>18.399999999999999</c:v>
                </c:pt>
                <c:pt idx="7">
                  <c:v>27</c:v>
                </c:pt>
                <c:pt idx="8">
                  <c:v>25.200000000000003</c:v>
                </c:pt>
              </c:numCache>
            </c:numRef>
          </c:val>
          <c:extLst xmlns:c16r2="http://schemas.microsoft.com/office/drawing/2015/06/chart">
            <c:ext xmlns:c16="http://schemas.microsoft.com/office/drawing/2014/chart" uri="{C3380CC4-5D6E-409C-BE32-E72D297353CC}">
              <c16:uniqueId val="{00000000-0052-405B-A642-6C1B73464BEE}"/>
            </c:ext>
          </c:extLst>
        </c:ser>
        <c:ser>
          <c:idx val="1"/>
          <c:order val="1"/>
          <c:tx>
            <c:strRef>
              <c:f>'Marge brute lait_viande'!$A$5</c:f>
              <c:strCache>
                <c:ptCount val="1"/>
                <c:pt idx="0">
                  <c:v>Valorisation du lait</c:v>
                </c:pt>
              </c:strCache>
            </c:strRef>
          </c:tx>
          <c:spPr>
            <a:ln w="34925" cap="rnd">
              <a:solidFill>
                <a:schemeClr val="accent2"/>
              </a:solidFill>
              <a:round/>
            </a:ln>
            <a:effectLst>
              <a:outerShdw blurRad="40000" dist="23000" dir="5400000" rotWithShape="0">
                <a:srgbClr val="000000">
                  <a:alpha val="35000"/>
                </a:srgbClr>
              </a:outerShdw>
            </a:effectLst>
          </c:spPr>
          <c:marker>
            <c:symbol val="none"/>
          </c:marker>
          <c:val>
            <c:numRef>
              <c:f>'Marge brute lait_viande'!$B$5:$J$5</c:f>
              <c:numCache>
                <c:formatCode>0.0</c:formatCode>
                <c:ptCount val="9"/>
                <c:pt idx="0">
                  <c:v>30.9</c:v>
                </c:pt>
                <c:pt idx="1">
                  <c:v>34</c:v>
                </c:pt>
                <c:pt idx="2">
                  <c:v>30.8</c:v>
                </c:pt>
                <c:pt idx="3">
                  <c:v>38.4</c:v>
                </c:pt>
                <c:pt idx="4">
                  <c:v>38.4</c:v>
                </c:pt>
                <c:pt idx="5">
                  <c:v>30.6</c:v>
                </c:pt>
                <c:pt idx="6">
                  <c:v>28.1</c:v>
                </c:pt>
                <c:pt idx="7">
                  <c:v>36.300000000000004</c:v>
                </c:pt>
                <c:pt idx="8">
                  <c:v>34.17</c:v>
                </c:pt>
              </c:numCache>
            </c:numRef>
          </c:val>
          <c:extLst xmlns:c16r2="http://schemas.microsoft.com/office/drawing/2015/06/chart">
            <c:ext xmlns:c16="http://schemas.microsoft.com/office/drawing/2014/chart" uri="{C3380CC4-5D6E-409C-BE32-E72D297353CC}">
              <c16:uniqueId val="{00000001-0052-405B-A642-6C1B73464BEE}"/>
            </c:ext>
          </c:extLst>
        </c:ser>
        <c:marker val="1"/>
        <c:axId val="60828288"/>
        <c:axId val="60850560"/>
      </c:lineChart>
      <c:catAx>
        <c:axId val="608282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850560"/>
        <c:crosses val="autoZero"/>
        <c:auto val="1"/>
        <c:lblAlgn val="ctr"/>
        <c:lblOffset val="100"/>
      </c:catAx>
      <c:valAx>
        <c:axId val="60850560"/>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fr-BE"/>
                  <a:t>€/100 L lait</a:t>
                </a:r>
              </a:p>
            </c:rich>
          </c:tx>
          <c:layout/>
          <c:spPr>
            <a:noFill/>
            <a:ln>
              <a:noFill/>
            </a:ln>
            <a:effectLst/>
          </c:spPr>
        </c:title>
        <c:numFmt formatCode="0.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828288"/>
        <c:crosses val="autoZero"/>
        <c:crossBetween val="between"/>
      </c:valAx>
      <c:spPr>
        <a:noFill/>
        <a:ln>
          <a:noFill/>
        </a:ln>
        <a:effectLst/>
      </c:spPr>
    </c:plotArea>
    <c:legend>
      <c:legendPos val="b"/>
      <c:layout/>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lang val="fr-BE"/>
  <c:chart>
    <c:autoTitleDeleted val="1"/>
    <c:plotArea>
      <c:layout/>
      <c:lineChart>
        <c:grouping val="standard"/>
        <c:ser>
          <c:idx val="0"/>
          <c:order val="0"/>
          <c:tx>
            <c:strRef>
              <c:f>'Marge brute lait_viande'!$A$28</c:f>
              <c:strCache>
                <c:ptCount val="1"/>
                <c:pt idx="0">
                  <c:v>Marge brute de la viande</c:v>
                </c:pt>
              </c:strCache>
            </c:strRef>
          </c:tx>
          <c:spPr>
            <a:ln w="34925" cap="rnd">
              <a:solidFill>
                <a:schemeClr val="accent1"/>
              </a:solidFill>
              <a:round/>
            </a:ln>
            <a:effectLst>
              <a:outerShdw blurRad="40000" dist="23000" dir="5400000" rotWithShape="0">
                <a:srgbClr val="000000">
                  <a:alpha val="35000"/>
                </a:srgbClr>
              </a:outerShdw>
            </a:effectLst>
          </c:spPr>
          <c:marker>
            <c:symbol val="none"/>
          </c:marker>
          <c:cat>
            <c:strRef>
              <c:f>'Marge brute lait_viande'!$B$25:$J$25</c:f>
              <c:strCache>
                <c:ptCount val="9"/>
                <c:pt idx="0">
                  <c:v>2010</c:v>
                </c:pt>
                <c:pt idx="1">
                  <c:v>2011</c:v>
                </c:pt>
                <c:pt idx="2">
                  <c:v>2012</c:v>
                </c:pt>
                <c:pt idx="3">
                  <c:v>2013</c:v>
                </c:pt>
                <c:pt idx="4">
                  <c:v>2014</c:v>
                </c:pt>
                <c:pt idx="5">
                  <c:v>2015</c:v>
                </c:pt>
                <c:pt idx="6">
                  <c:v>2016</c:v>
                </c:pt>
                <c:pt idx="7">
                  <c:v>2017</c:v>
                </c:pt>
                <c:pt idx="8">
                  <c:v>2018 prov</c:v>
                </c:pt>
              </c:strCache>
            </c:strRef>
          </c:cat>
          <c:val>
            <c:numRef>
              <c:f>'Marge brute lait_viande'!$B$28:$J$28</c:f>
              <c:numCache>
                <c:formatCode>#,##0</c:formatCode>
                <c:ptCount val="9"/>
                <c:pt idx="0">
                  <c:v>557</c:v>
                </c:pt>
                <c:pt idx="1">
                  <c:v>507</c:v>
                </c:pt>
                <c:pt idx="2">
                  <c:v>491</c:v>
                </c:pt>
                <c:pt idx="3">
                  <c:v>604</c:v>
                </c:pt>
                <c:pt idx="4">
                  <c:v>685</c:v>
                </c:pt>
                <c:pt idx="5">
                  <c:v>647</c:v>
                </c:pt>
                <c:pt idx="6">
                  <c:v>581</c:v>
                </c:pt>
                <c:pt idx="7">
                  <c:v>419</c:v>
                </c:pt>
                <c:pt idx="8">
                  <c:v>473.98000000000013</c:v>
                </c:pt>
              </c:numCache>
            </c:numRef>
          </c:val>
          <c:extLst xmlns:c16r2="http://schemas.microsoft.com/office/drawing/2015/06/chart">
            <c:ext xmlns:c16="http://schemas.microsoft.com/office/drawing/2014/chart" uri="{C3380CC4-5D6E-409C-BE32-E72D297353CC}">
              <c16:uniqueId val="{00000000-09F1-4F1D-9B35-B328DA847455}"/>
            </c:ext>
          </c:extLst>
        </c:ser>
        <c:marker val="1"/>
        <c:axId val="60908288"/>
        <c:axId val="60909824"/>
      </c:lineChart>
      <c:catAx>
        <c:axId val="60908288"/>
        <c:scaling>
          <c:orientation val="minMax"/>
        </c:scaling>
        <c:axPos val="b"/>
        <c:numFmt formatCode="General" sourceLinked="1"/>
        <c:maj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09824"/>
        <c:crosses val="autoZero"/>
        <c:auto val="1"/>
        <c:lblAlgn val="ctr"/>
        <c:lblOffset val="100"/>
      </c:catAx>
      <c:valAx>
        <c:axId val="60909824"/>
        <c:scaling>
          <c:orientation val="minMax"/>
        </c:scaling>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r>
                  <a:rPr lang="en-US"/>
                  <a:t>€/vache</a:t>
                </a:r>
              </a:p>
            </c:rich>
          </c:tx>
          <c:spPr>
            <a:noFill/>
            <a:ln>
              <a:noFill/>
            </a:ln>
            <a:effectLst/>
          </c:spPr>
        </c:title>
        <c:numFmt formatCode="#,##0" sourceLinked="1"/>
        <c:maj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60908288"/>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fr-FR"/>
    </a:p>
  </c:txPr>
  <c:externalData r:id="rId1"/>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42">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F67DA544-81CF-44F2-BB04-E225361DA0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9</Pages>
  <Words>2057</Words>
  <Characters>11314</Characters>
  <Application>Microsoft Office Word</Application>
  <DocSecurity>0</DocSecurity>
  <Lines>94</Lines>
  <Paragraphs>26</Paragraphs>
  <ScaleCrop>false</ScaleCrop>
  <HeadingPairs>
    <vt:vector size="2" baseType="variant">
      <vt:variant>
        <vt:lpstr>Titre</vt:lpstr>
      </vt:variant>
      <vt:variant>
        <vt:i4>1</vt:i4>
      </vt:variant>
    </vt:vector>
  </HeadingPairs>
  <TitlesOfParts>
    <vt:vector size="1" baseType="lpstr">
      <vt:lpstr/>
    </vt:vector>
  </TitlesOfParts>
  <Company>SPW</Company>
  <LinksUpToDate>false</LinksUpToDate>
  <CharactersWithSpaces>13345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MISERQUE</dc:creator>
  <cp:lastModifiedBy>128837</cp:lastModifiedBy>
  <cp:revision>16</cp:revision>
  <cp:lastPrinted>2019-07-23T09:59:00Z</cp:lastPrinted>
  <dcterms:created xsi:type="dcterms:W3CDTF">2019-07-23T06:25:00Z</dcterms:created>
  <dcterms:modified xsi:type="dcterms:W3CDTF">2019-07-25T07:23:00Z</dcterms:modified>
</cp:coreProperties>
</file>