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2D1B" w:rsidRPr="00074E52" w:rsidRDefault="00432D1B" w:rsidP="00E9242B">
      <w:pPr>
        <w:rPr>
          <w:lang w:val="fr-FR"/>
        </w:rPr>
      </w:pPr>
      <w:r w:rsidRPr="00074E52">
        <w:rPr>
          <w:lang w:val="fr-FR"/>
        </w:rPr>
        <w:t xml:space="preserve">Evaluation du Programme wallon de développement rural 2014-2020 </w:t>
      </w:r>
    </w:p>
    <w:p w:rsidR="00432D1B" w:rsidRDefault="00432D1B" w:rsidP="00432D1B">
      <w:pPr>
        <w:spacing w:before="720"/>
        <w:ind w:left="2127"/>
        <w:rPr>
          <w:rFonts w:ascii="Arial Black" w:hAnsi="Arial Black"/>
          <w:sz w:val="26"/>
          <w:lang w:val="fr-FR"/>
        </w:rPr>
      </w:pPr>
      <w:r w:rsidRPr="00074E52">
        <w:rPr>
          <w:rFonts w:ascii="Arial Black" w:hAnsi="Arial Black"/>
          <w:sz w:val="26"/>
          <w:lang w:val="fr-FR"/>
        </w:rPr>
        <w:t>Contribution au RAMO 2018</w:t>
      </w:r>
    </w:p>
    <w:p w:rsidR="00432D1B" w:rsidRPr="00074E52" w:rsidRDefault="00432D1B" w:rsidP="00432D1B">
      <w:pPr>
        <w:spacing w:before="360"/>
        <w:ind w:left="2127"/>
        <w:rPr>
          <w:rFonts w:ascii="Arial Black" w:hAnsi="Arial Black"/>
          <w:sz w:val="26"/>
          <w:lang w:val="fr-FR"/>
        </w:rPr>
      </w:pPr>
      <w:r>
        <w:rPr>
          <w:rFonts w:ascii="Arial Black" w:hAnsi="Arial Black"/>
          <w:sz w:val="26"/>
          <w:lang w:val="fr-FR"/>
        </w:rPr>
        <w:t>Volume II - Annexes</w:t>
      </w:r>
    </w:p>
    <w:p w:rsidR="00432D1B" w:rsidRPr="00074E52" w:rsidRDefault="00432D1B" w:rsidP="00432D1B">
      <w:pPr>
        <w:spacing w:before="720"/>
        <w:ind w:left="2127"/>
        <w:jc w:val="right"/>
        <w:rPr>
          <w:b/>
          <w:bCs/>
          <w:i/>
          <w:iCs/>
          <w:sz w:val="28"/>
          <w:lang w:val="fr-FR"/>
        </w:rPr>
      </w:pPr>
      <w:r w:rsidRPr="00074E52">
        <w:rPr>
          <w:b/>
          <w:bCs/>
          <w:i/>
          <w:iCs/>
          <w:sz w:val="28"/>
          <w:lang w:val="fr-FR"/>
        </w:rPr>
        <w:t>Juin 201</w:t>
      </w:r>
      <w:r>
        <w:rPr>
          <w:b/>
          <w:bCs/>
          <w:i/>
          <w:iCs/>
          <w:sz w:val="28"/>
          <w:lang w:val="fr-FR"/>
        </w:rPr>
        <w:t>9</w:t>
      </w:r>
    </w:p>
    <w:p w:rsidR="00432D1B" w:rsidRPr="00074E52" w:rsidRDefault="00432D1B" w:rsidP="00057CAF">
      <w:pPr>
        <w:spacing w:before="2400"/>
        <w:ind w:left="2126"/>
        <w:rPr>
          <w:b/>
          <w:lang w:val="fr-FR"/>
        </w:rPr>
      </w:pPr>
      <w:r w:rsidRPr="00074E52">
        <w:rPr>
          <w:b/>
          <w:lang w:val="fr-FR"/>
        </w:rPr>
        <w:t xml:space="preserve">Evaluation réalisée par ADE en collaboration avec </w:t>
      </w:r>
      <w:proofErr w:type="spellStart"/>
      <w:r w:rsidRPr="00074E52">
        <w:rPr>
          <w:b/>
          <w:lang w:val="fr-FR"/>
        </w:rPr>
        <w:t>ULg-GxABT</w:t>
      </w:r>
      <w:proofErr w:type="spellEnd"/>
      <w:r w:rsidRPr="00074E52">
        <w:rPr>
          <w:b/>
          <w:lang w:val="fr-FR"/>
        </w:rPr>
        <w:t xml:space="preserve"> et Epices</w:t>
      </w:r>
    </w:p>
    <w:p w:rsidR="00432D1B" w:rsidRPr="00074E52" w:rsidRDefault="00432D1B" w:rsidP="00432D1B">
      <w:pPr>
        <w:spacing w:before="3000"/>
        <w:ind w:left="2127"/>
        <w:rPr>
          <w:lang w:val="fr-FR"/>
        </w:rPr>
        <w:sectPr w:rsidR="00432D1B" w:rsidRPr="00074E52" w:rsidSect="00432D1B">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1701" w:header="709" w:footer="709" w:gutter="0"/>
          <w:cols w:space="708"/>
          <w:docGrid w:linePitch="360"/>
        </w:sectPr>
      </w:pPr>
    </w:p>
    <w:p w:rsidR="00432D1B" w:rsidRPr="00074E52" w:rsidRDefault="00432D1B" w:rsidP="00432D1B">
      <w:pPr>
        <w:spacing w:before="360" w:after="240"/>
        <w:ind w:left="2835" w:right="-16" w:firstLine="567"/>
        <w:rPr>
          <w:rFonts w:ascii="Arial" w:hAnsi="Arial"/>
          <w:sz w:val="28"/>
          <w:lang w:val="fr-FR"/>
        </w:rPr>
      </w:pPr>
      <w:bookmarkStart w:id="0" w:name="_Toc140901525"/>
      <w:bookmarkStart w:id="1" w:name="_Toc140908572"/>
      <w:bookmarkStart w:id="2" w:name="_Toc141156687"/>
      <w:bookmarkStart w:id="3" w:name="_Toc144887166"/>
      <w:bookmarkStart w:id="4" w:name="_Toc144887318"/>
      <w:bookmarkStart w:id="5" w:name="_Toc144890905"/>
      <w:bookmarkStart w:id="6" w:name="_Toc144892130"/>
      <w:bookmarkStart w:id="7" w:name="_Toc153341260"/>
      <w:bookmarkStart w:id="8" w:name="_Toc153356249"/>
      <w:bookmarkStart w:id="9" w:name="_Toc153358364"/>
      <w:bookmarkStart w:id="10" w:name="_Toc153591811"/>
      <w:bookmarkStart w:id="11" w:name="_Toc153591920"/>
      <w:bookmarkStart w:id="12" w:name="_Toc153593149"/>
      <w:bookmarkStart w:id="13" w:name="_Toc153600864"/>
      <w:bookmarkStart w:id="14" w:name="_Toc153682872"/>
      <w:bookmarkStart w:id="15" w:name="_Toc213149915"/>
      <w:bookmarkStart w:id="16" w:name="_Toc213579337"/>
      <w:bookmarkStart w:id="17" w:name="_Toc213580832"/>
      <w:bookmarkStart w:id="18" w:name="_Toc218676956"/>
      <w:bookmarkStart w:id="19" w:name="_Toc218677041"/>
      <w:bookmarkStart w:id="20" w:name="_Toc218678860"/>
      <w:bookmarkStart w:id="21" w:name="_Toc220471618"/>
      <w:bookmarkStart w:id="22" w:name="_Toc225745951"/>
      <w:bookmarkStart w:id="23" w:name="_Toc225748232"/>
      <w:bookmarkStart w:id="24" w:name="_Toc227147228"/>
      <w:bookmarkStart w:id="25" w:name="_Toc227561618"/>
      <w:bookmarkStart w:id="26" w:name="_Toc227656772"/>
      <w:bookmarkStart w:id="27" w:name="_Toc256085148"/>
      <w:bookmarkStart w:id="28" w:name="_Toc258915700"/>
      <w:bookmarkStart w:id="29" w:name="_Toc258945314"/>
      <w:bookmarkStart w:id="30" w:name="_Toc259004878"/>
      <w:bookmarkStart w:id="31" w:name="_Toc259014485"/>
      <w:bookmarkStart w:id="32" w:name="_Toc290470806"/>
      <w:bookmarkStart w:id="33" w:name="_Toc322102465"/>
      <w:bookmarkStart w:id="34" w:name="_Toc322102747"/>
      <w:bookmarkStart w:id="35" w:name="_Toc351642033"/>
      <w:bookmarkStart w:id="36" w:name="_Toc351642059"/>
      <w:bookmarkStart w:id="37" w:name="_Toc384907204"/>
      <w:bookmarkStart w:id="38" w:name="_Toc416863418"/>
      <w:bookmarkStart w:id="39" w:name="_Toc417380180"/>
      <w:bookmarkStart w:id="40" w:name="_Toc417380676"/>
      <w:bookmarkStart w:id="41" w:name="_Toc448400400"/>
      <w:r w:rsidRPr="00074E52">
        <w:rPr>
          <w:rFonts w:ascii="Arial" w:hAnsi="Arial"/>
          <w:sz w:val="28"/>
          <w:lang w:val="fr-FR"/>
        </w:rPr>
        <w:lastRenderedPageBreak/>
        <w:t xml:space="preserve">La présente étude a été réalisée par le groupement « ADE – </w:t>
      </w:r>
      <w:proofErr w:type="spellStart"/>
      <w:r w:rsidRPr="00074E52">
        <w:rPr>
          <w:rFonts w:ascii="Arial" w:hAnsi="Arial"/>
          <w:sz w:val="28"/>
          <w:lang w:val="fr-FR"/>
        </w:rPr>
        <w:t>ULg-GxABT</w:t>
      </w:r>
      <w:proofErr w:type="spellEnd"/>
      <w:r w:rsidRPr="00074E52">
        <w:rPr>
          <w:rFonts w:ascii="Arial" w:hAnsi="Arial"/>
          <w:sz w:val="28"/>
          <w:lang w:val="fr-FR"/>
        </w:rPr>
        <w:t xml:space="preserve"> – Epices » à la demande de la Région Wallonne, Direction générale de l’Agriculture.</w:t>
      </w:r>
    </w:p>
    <w:p w:rsidR="00432D1B" w:rsidRPr="00074E52" w:rsidRDefault="00432D1B" w:rsidP="00432D1B">
      <w:pPr>
        <w:spacing w:before="360" w:after="240"/>
        <w:ind w:left="2835" w:right="-16" w:firstLine="567"/>
        <w:rPr>
          <w:rFonts w:ascii="Arial" w:hAnsi="Arial"/>
          <w:sz w:val="28"/>
          <w:lang w:val="fr-FR"/>
        </w:rPr>
        <w:sectPr w:rsidR="00432D1B" w:rsidRPr="00074E52" w:rsidSect="00432D1B">
          <w:headerReference w:type="default" r:id="rId14"/>
          <w:footerReference w:type="default" r:id="rId15"/>
          <w:type w:val="oddPage"/>
          <w:pgSz w:w="11906" w:h="16838" w:code="9"/>
          <w:pgMar w:top="2268" w:right="1701" w:bottom="1701" w:left="1701" w:header="709" w:footer="709" w:gutter="0"/>
          <w:cols w:space="708"/>
          <w:vAlign w:val="bottom"/>
          <w:docGrid w:linePitch="360"/>
        </w:sectPr>
      </w:pPr>
      <w:r w:rsidRPr="00074E52">
        <w:rPr>
          <w:rFonts w:ascii="Arial" w:hAnsi="Arial"/>
          <w:sz w:val="28"/>
          <w:lang w:val="fr-FR"/>
        </w:rPr>
        <w:t>Elle n’engage que ses auteurs et ne reflète pas nécessairement leur opinion.</w:t>
      </w:r>
    </w:p>
    <w:p w:rsidR="00432D1B" w:rsidRPr="00074E52" w:rsidRDefault="00432D1B" w:rsidP="00432D1B">
      <w:pPr>
        <w:pStyle w:val="Titre1"/>
      </w:pPr>
      <w:bookmarkStart w:id="42" w:name="_Toc448475811"/>
      <w:bookmarkStart w:id="43" w:name="_Toc448476188"/>
      <w:bookmarkStart w:id="44" w:name="_Toc460319826"/>
      <w:bookmarkStart w:id="45" w:name="_Toc460593425"/>
      <w:bookmarkStart w:id="46" w:name="_Toc483918776"/>
      <w:bookmarkStart w:id="47" w:name="_Toc485983609"/>
      <w:bookmarkStart w:id="48" w:name="_Toc486260230"/>
      <w:bookmarkStart w:id="49" w:name="_Toc11314400"/>
      <w:bookmarkStart w:id="50" w:name="_Toc11330628"/>
      <w:bookmarkStart w:id="51" w:name="_Toc11333797"/>
      <w:bookmarkStart w:id="52" w:name="_Toc2568876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074E52">
        <w:lastRenderedPageBreak/>
        <w:t>Table des matières</w:t>
      </w:r>
      <w:bookmarkEnd w:id="42"/>
      <w:bookmarkEnd w:id="43"/>
      <w:bookmarkEnd w:id="44"/>
      <w:bookmarkEnd w:id="45"/>
      <w:bookmarkEnd w:id="46"/>
      <w:bookmarkEnd w:id="47"/>
      <w:bookmarkEnd w:id="48"/>
      <w:bookmarkEnd w:id="49"/>
      <w:bookmarkEnd w:id="50"/>
      <w:bookmarkEnd w:id="51"/>
      <w:bookmarkEnd w:id="52"/>
    </w:p>
    <w:p w:rsidR="00403050" w:rsidRDefault="008232A8">
      <w:pPr>
        <w:pStyle w:val="TM1"/>
        <w:rPr>
          <w:rFonts w:asciiTheme="minorHAnsi" w:eastAsiaTheme="minorEastAsia" w:hAnsiTheme="minorHAnsi" w:cstheme="minorBidi"/>
          <w:b w:val="0"/>
          <w:smallCaps w:val="0"/>
          <w:sz w:val="22"/>
          <w:szCs w:val="22"/>
          <w:lang w:val="fr-BE" w:eastAsia="fr-BE"/>
        </w:rPr>
      </w:pPr>
      <w:r>
        <w:rPr>
          <w:rFonts w:eastAsiaTheme="minorHAnsi" w:cstheme="minorBidi"/>
          <w:szCs w:val="22"/>
          <w:lang w:val="en-US" w:eastAsia="en-US"/>
        </w:rPr>
        <w:fldChar w:fldCharType="begin"/>
      </w:r>
      <w:r>
        <w:rPr>
          <w:lang w:val="en-US" w:eastAsia="en-US"/>
        </w:rPr>
        <w:instrText xml:space="preserve"> TOC \o "1-3" \h \z \u </w:instrText>
      </w:r>
      <w:r>
        <w:rPr>
          <w:rFonts w:eastAsiaTheme="minorHAnsi" w:cstheme="minorBidi"/>
          <w:szCs w:val="22"/>
          <w:lang w:val="en-US" w:eastAsia="en-US"/>
        </w:rPr>
        <w:fldChar w:fldCharType="separate"/>
      </w:r>
      <w:hyperlink w:anchor="_Toc25688769" w:history="1">
        <w:r w:rsidR="00403050" w:rsidRPr="00475B89">
          <w:rPr>
            <w:rStyle w:val="Lienhypertexte"/>
          </w:rPr>
          <w:t>Table des matières</w:t>
        </w:r>
        <w:r w:rsidR="00403050">
          <w:rPr>
            <w:webHidden/>
          </w:rPr>
          <w:tab/>
        </w:r>
        <w:r w:rsidR="00403050">
          <w:rPr>
            <w:webHidden/>
          </w:rPr>
          <w:fldChar w:fldCharType="begin"/>
        </w:r>
        <w:r w:rsidR="00403050">
          <w:rPr>
            <w:webHidden/>
          </w:rPr>
          <w:instrText xml:space="preserve"> PAGEREF _Toc25688769 \h </w:instrText>
        </w:r>
        <w:r w:rsidR="00403050">
          <w:rPr>
            <w:webHidden/>
          </w:rPr>
        </w:r>
        <w:r w:rsidR="00403050">
          <w:rPr>
            <w:webHidden/>
          </w:rPr>
          <w:fldChar w:fldCharType="separate"/>
        </w:r>
        <w:r w:rsidR="00403050">
          <w:rPr>
            <w:webHidden/>
          </w:rPr>
          <w:t>5</w:t>
        </w:r>
        <w:r w:rsidR="00403050">
          <w:rPr>
            <w:webHidden/>
          </w:rPr>
          <w:fldChar w:fldCharType="end"/>
        </w:r>
      </w:hyperlink>
    </w:p>
    <w:p w:rsidR="00403050" w:rsidRDefault="00E9242B">
      <w:pPr>
        <w:pStyle w:val="TM1"/>
        <w:rPr>
          <w:rFonts w:asciiTheme="minorHAnsi" w:eastAsiaTheme="minorEastAsia" w:hAnsiTheme="minorHAnsi" w:cstheme="minorBidi"/>
          <w:b w:val="0"/>
          <w:smallCaps w:val="0"/>
          <w:sz w:val="22"/>
          <w:szCs w:val="22"/>
          <w:lang w:val="fr-BE" w:eastAsia="fr-BE"/>
        </w:rPr>
      </w:pPr>
      <w:hyperlink w:anchor="_Toc25688770" w:history="1">
        <w:r w:rsidR="00403050" w:rsidRPr="00475B89">
          <w:rPr>
            <w:rStyle w:val="Lienhypertexte"/>
          </w:rPr>
          <w:t>Liste d’acronymes, codes et abréviations</w:t>
        </w:r>
        <w:r w:rsidR="00403050">
          <w:rPr>
            <w:webHidden/>
          </w:rPr>
          <w:tab/>
        </w:r>
        <w:r w:rsidR="00403050">
          <w:rPr>
            <w:webHidden/>
          </w:rPr>
          <w:fldChar w:fldCharType="begin"/>
        </w:r>
        <w:r w:rsidR="00403050">
          <w:rPr>
            <w:webHidden/>
          </w:rPr>
          <w:instrText xml:space="preserve"> PAGEREF _Toc25688770 \h </w:instrText>
        </w:r>
        <w:r w:rsidR="00403050">
          <w:rPr>
            <w:webHidden/>
          </w:rPr>
        </w:r>
        <w:r w:rsidR="00403050">
          <w:rPr>
            <w:webHidden/>
          </w:rPr>
          <w:fldChar w:fldCharType="separate"/>
        </w:r>
        <w:r w:rsidR="00403050">
          <w:rPr>
            <w:webHidden/>
          </w:rPr>
          <w:t>7</w:t>
        </w:r>
        <w:r w:rsidR="00403050">
          <w:rPr>
            <w:webHidden/>
          </w:rPr>
          <w:fldChar w:fldCharType="end"/>
        </w:r>
      </w:hyperlink>
    </w:p>
    <w:p w:rsidR="00403050" w:rsidRDefault="00E9242B">
      <w:pPr>
        <w:pStyle w:val="TM1"/>
        <w:rPr>
          <w:rFonts w:asciiTheme="minorHAnsi" w:eastAsiaTheme="minorEastAsia" w:hAnsiTheme="minorHAnsi" w:cstheme="minorBidi"/>
          <w:b w:val="0"/>
          <w:smallCaps w:val="0"/>
          <w:sz w:val="22"/>
          <w:szCs w:val="22"/>
          <w:lang w:val="fr-BE" w:eastAsia="fr-BE"/>
        </w:rPr>
      </w:pPr>
      <w:hyperlink w:anchor="_Toc25688771" w:history="1">
        <w:r w:rsidR="00403050" w:rsidRPr="00475B89">
          <w:rPr>
            <w:rStyle w:val="Lienhypertexte"/>
            <w:rFonts w:eastAsiaTheme="minorHAnsi"/>
          </w:rPr>
          <w:t>Annexe 1. Questions méthodologiques</w:t>
        </w:r>
        <w:r w:rsidR="00403050">
          <w:rPr>
            <w:webHidden/>
          </w:rPr>
          <w:tab/>
        </w:r>
        <w:r w:rsidR="00403050">
          <w:rPr>
            <w:webHidden/>
          </w:rPr>
          <w:fldChar w:fldCharType="begin"/>
        </w:r>
        <w:r w:rsidR="00403050">
          <w:rPr>
            <w:webHidden/>
          </w:rPr>
          <w:instrText xml:space="preserve"> PAGEREF _Toc25688771 \h </w:instrText>
        </w:r>
        <w:r w:rsidR="00403050">
          <w:rPr>
            <w:webHidden/>
          </w:rPr>
        </w:r>
        <w:r w:rsidR="00403050">
          <w:rPr>
            <w:webHidden/>
          </w:rPr>
          <w:fldChar w:fldCharType="separate"/>
        </w:r>
        <w:r w:rsidR="00403050">
          <w:rPr>
            <w:webHidden/>
          </w:rPr>
          <w:t>1</w:t>
        </w:r>
        <w:r w:rsidR="00403050">
          <w:rPr>
            <w:webHidden/>
          </w:rPr>
          <w:fldChar w:fldCharType="end"/>
        </w:r>
      </w:hyperlink>
    </w:p>
    <w:p w:rsidR="00403050" w:rsidRDefault="00E9242B">
      <w:pPr>
        <w:pStyle w:val="TM1"/>
        <w:rPr>
          <w:rFonts w:asciiTheme="minorHAnsi" w:eastAsiaTheme="minorEastAsia" w:hAnsiTheme="minorHAnsi" w:cstheme="minorBidi"/>
          <w:b w:val="0"/>
          <w:smallCaps w:val="0"/>
          <w:sz w:val="22"/>
          <w:szCs w:val="22"/>
          <w:lang w:val="fr-BE" w:eastAsia="fr-BE"/>
        </w:rPr>
      </w:pPr>
      <w:hyperlink w:anchor="_Toc25688775" w:history="1">
        <w:r w:rsidR="00403050" w:rsidRPr="00475B89">
          <w:rPr>
            <w:rStyle w:val="Lienhypertexte"/>
          </w:rPr>
          <w:t>Annexe 2. Analyse des modalités d’action du PDR sur l’environnement</w:t>
        </w:r>
        <w:r w:rsidR="00403050">
          <w:rPr>
            <w:webHidden/>
          </w:rPr>
          <w:tab/>
        </w:r>
        <w:r w:rsidR="00403050">
          <w:rPr>
            <w:webHidden/>
          </w:rPr>
          <w:fldChar w:fldCharType="begin"/>
        </w:r>
        <w:r w:rsidR="00403050">
          <w:rPr>
            <w:webHidden/>
          </w:rPr>
          <w:instrText xml:space="preserve"> PAGEREF _Toc25688775 \h </w:instrText>
        </w:r>
        <w:r w:rsidR="00403050">
          <w:rPr>
            <w:webHidden/>
          </w:rPr>
        </w:r>
        <w:r w:rsidR="00403050">
          <w:rPr>
            <w:webHidden/>
          </w:rPr>
          <w:fldChar w:fldCharType="separate"/>
        </w:r>
        <w:r w:rsidR="00403050">
          <w:rPr>
            <w:webHidden/>
          </w:rPr>
          <w:t>9</w:t>
        </w:r>
        <w:r w:rsidR="00403050">
          <w:rPr>
            <w:webHidden/>
          </w:rPr>
          <w:fldChar w:fldCharType="end"/>
        </w:r>
      </w:hyperlink>
    </w:p>
    <w:p w:rsidR="00403050" w:rsidRDefault="00E9242B">
      <w:pPr>
        <w:pStyle w:val="TM1"/>
        <w:rPr>
          <w:rFonts w:asciiTheme="minorHAnsi" w:eastAsiaTheme="minorEastAsia" w:hAnsiTheme="minorHAnsi" w:cstheme="minorBidi"/>
          <w:b w:val="0"/>
          <w:smallCaps w:val="0"/>
          <w:sz w:val="22"/>
          <w:szCs w:val="22"/>
          <w:lang w:val="fr-BE" w:eastAsia="fr-BE"/>
        </w:rPr>
      </w:pPr>
      <w:hyperlink w:anchor="_Toc25688776" w:history="1">
        <w:r w:rsidR="00403050" w:rsidRPr="00475B89">
          <w:rPr>
            <w:rStyle w:val="Lienhypertexte"/>
            <w:rFonts w:eastAsiaTheme="minorHAnsi"/>
          </w:rPr>
          <w:t>Annexe 3. Analyse des effets du PDR sur les divers aspects de la biodiversité et les paysages</w:t>
        </w:r>
        <w:r w:rsidR="00403050">
          <w:rPr>
            <w:webHidden/>
          </w:rPr>
          <w:tab/>
        </w:r>
        <w:r w:rsidR="00403050">
          <w:rPr>
            <w:webHidden/>
          </w:rPr>
          <w:fldChar w:fldCharType="begin"/>
        </w:r>
        <w:r w:rsidR="00403050">
          <w:rPr>
            <w:webHidden/>
          </w:rPr>
          <w:instrText xml:space="preserve"> PAGEREF _Toc25688776 \h </w:instrText>
        </w:r>
        <w:r w:rsidR="00403050">
          <w:rPr>
            <w:webHidden/>
          </w:rPr>
        </w:r>
        <w:r w:rsidR="00403050">
          <w:rPr>
            <w:webHidden/>
          </w:rPr>
          <w:fldChar w:fldCharType="separate"/>
        </w:r>
        <w:r w:rsidR="00403050">
          <w:rPr>
            <w:webHidden/>
          </w:rPr>
          <w:t>11</w:t>
        </w:r>
        <w:r w:rsidR="00403050">
          <w:rPr>
            <w:webHidden/>
          </w:rPr>
          <w:fldChar w:fldCharType="end"/>
        </w:r>
      </w:hyperlink>
    </w:p>
    <w:p w:rsidR="00403050" w:rsidRDefault="00E9242B">
      <w:pPr>
        <w:pStyle w:val="TM1"/>
        <w:rPr>
          <w:rFonts w:asciiTheme="minorHAnsi" w:eastAsiaTheme="minorEastAsia" w:hAnsiTheme="minorHAnsi" w:cstheme="minorBidi"/>
          <w:b w:val="0"/>
          <w:smallCaps w:val="0"/>
          <w:sz w:val="22"/>
          <w:szCs w:val="22"/>
          <w:lang w:val="fr-BE" w:eastAsia="fr-BE"/>
        </w:rPr>
      </w:pPr>
      <w:hyperlink w:anchor="_Toc25688788" w:history="1">
        <w:r w:rsidR="00403050" w:rsidRPr="00475B89">
          <w:rPr>
            <w:rStyle w:val="Lienhypertexte"/>
            <w:rFonts w:eastAsiaTheme="minorHAnsi"/>
          </w:rPr>
          <w:t>Annexe 4. Analyse des contributions du PDR aux composantes de la stratégie biodiversité</w:t>
        </w:r>
        <w:r w:rsidR="00403050">
          <w:rPr>
            <w:webHidden/>
          </w:rPr>
          <w:tab/>
        </w:r>
        <w:r w:rsidR="00403050">
          <w:rPr>
            <w:webHidden/>
          </w:rPr>
          <w:fldChar w:fldCharType="begin"/>
        </w:r>
        <w:r w:rsidR="00403050">
          <w:rPr>
            <w:webHidden/>
          </w:rPr>
          <w:instrText xml:space="preserve"> PAGEREF _Toc25688788 \h </w:instrText>
        </w:r>
        <w:r w:rsidR="00403050">
          <w:rPr>
            <w:webHidden/>
          </w:rPr>
        </w:r>
        <w:r w:rsidR="00403050">
          <w:rPr>
            <w:webHidden/>
          </w:rPr>
          <w:fldChar w:fldCharType="separate"/>
        </w:r>
        <w:r w:rsidR="00403050">
          <w:rPr>
            <w:webHidden/>
          </w:rPr>
          <w:t>19</w:t>
        </w:r>
        <w:r w:rsidR="00403050">
          <w:rPr>
            <w:webHidden/>
          </w:rPr>
          <w:fldChar w:fldCharType="end"/>
        </w:r>
      </w:hyperlink>
    </w:p>
    <w:p w:rsidR="00403050" w:rsidRDefault="00E9242B">
      <w:pPr>
        <w:pStyle w:val="TM1"/>
        <w:rPr>
          <w:rFonts w:asciiTheme="minorHAnsi" w:eastAsiaTheme="minorEastAsia" w:hAnsiTheme="minorHAnsi" w:cstheme="minorBidi"/>
          <w:b w:val="0"/>
          <w:smallCaps w:val="0"/>
          <w:sz w:val="22"/>
          <w:szCs w:val="22"/>
          <w:lang w:val="fr-BE" w:eastAsia="fr-BE"/>
        </w:rPr>
      </w:pPr>
      <w:hyperlink w:anchor="_Toc25688789" w:history="1">
        <w:r w:rsidR="00403050" w:rsidRPr="00475B89">
          <w:rPr>
            <w:rStyle w:val="Lienhypertexte"/>
          </w:rPr>
          <w:t>Annexe 5. Analyse du cycle de l’azote</w:t>
        </w:r>
        <w:r w:rsidR="00403050">
          <w:rPr>
            <w:webHidden/>
          </w:rPr>
          <w:tab/>
        </w:r>
        <w:r w:rsidR="00403050">
          <w:rPr>
            <w:webHidden/>
          </w:rPr>
          <w:fldChar w:fldCharType="begin"/>
        </w:r>
        <w:r w:rsidR="00403050">
          <w:rPr>
            <w:webHidden/>
          </w:rPr>
          <w:instrText xml:space="preserve"> PAGEREF _Toc25688789 \h </w:instrText>
        </w:r>
        <w:r w:rsidR="00403050">
          <w:rPr>
            <w:webHidden/>
          </w:rPr>
        </w:r>
        <w:r w:rsidR="00403050">
          <w:rPr>
            <w:webHidden/>
          </w:rPr>
          <w:fldChar w:fldCharType="separate"/>
        </w:r>
        <w:r w:rsidR="00403050">
          <w:rPr>
            <w:webHidden/>
          </w:rPr>
          <w:t>21</w:t>
        </w:r>
        <w:r w:rsidR="00403050">
          <w:rPr>
            <w:webHidden/>
          </w:rPr>
          <w:fldChar w:fldCharType="end"/>
        </w:r>
      </w:hyperlink>
    </w:p>
    <w:p w:rsidR="00403050" w:rsidRDefault="00E9242B">
      <w:pPr>
        <w:pStyle w:val="TM1"/>
        <w:rPr>
          <w:rFonts w:asciiTheme="minorHAnsi" w:eastAsiaTheme="minorEastAsia" w:hAnsiTheme="minorHAnsi" w:cstheme="minorBidi"/>
          <w:b w:val="0"/>
          <w:smallCaps w:val="0"/>
          <w:sz w:val="22"/>
          <w:szCs w:val="22"/>
          <w:lang w:val="fr-BE" w:eastAsia="fr-BE"/>
        </w:rPr>
      </w:pPr>
      <w:hyperlink w:anchor="_Toc25688792" w:history="1">
        <w:r w:rsidR="00403050" w:rsidRPr="00475B89">
          <w:rPr>
            <w:rStyle w:val="Lienhypertexte"/>
          </w:rPr>
          <w:t>Annexe 6. Analyse de l’impact transmis par le cheptel bovin.</w:t>
        </w:r>
        <w:r w:rsidR="00403050">
          <w:rPr>
            <w:webHidden/>
          </w:rPr>
          <w:tab/>
        </w:r>
        <w:r w:rsidR="00403050">
          <w:rPr>
            <w:webHidden/>
          </w:rPr>
          <w:fldChar w:fldCharType="begin"/>
        </w:r>
        <w:r w:rsidR="00403050">
          <w:rPr>
            <w:webHidden/>
          </w:rPr>
          <w:instrText xml:space="preserve"> PAGEREF _Toc25688792 \h </w:instrText>
        </w:r>
        <w:r w:rsidR="00403050">
          <w:rPr>
            <w:webHidden/>
          </w:rPr>
        </w:r>
        <w:r w:rsidR="00403050">
          <w:rPr>
            <w:webHidden/>
          </w:rPr>
          <w:fldChar w:fldCharType="separate"/>
        </w:r>
        <w:r w:rsidR="00403050">
          <w:rPr>
            <w:webHidden/>
          </w:rPr>
          <w:t>27</w:t>
        </w:r>
        <w:r w:rsidR="00403050">
          <w:rPr>
            <w:webHidden/>
          </w:rPr>
          <w:fldChar w:fldCharType="end"/>
        </w:r>
      </w:hyperlink>
    </w:p>
    <w:p w:rsidR="00403050" w:rsidRDefault="00E9242B">
      <w:pPr>
        <w:pStyle w:val="TM1"/>
        <w:rPr>
          <w:rFonts w:asciiTheme="minorHAnsi" w:eastAsiaTheme="minorEastAsia" w:hAnsiTheme="minorHAnsi" w:cstheme="minorBidi"/>
          <w:b w:val="0"/>
          <w:smallCaps w:val="0"/>
          <w:sz w:val="22"/>
          <w:szCs w:val="22"/>
          <w:lang w:val="fr-BE" w:eastAsia="fr-BE"/>
        </w:rPr>
      </w:pPr>
      <w:hyperlink w:anchor="_Toc25688798" w:history="1">
        <w:r w:rsidR="00403050" w:rsidRPr="00475B89">
          <w:rPr>
            <w:rStyle w:val="Lienhypertexte"/>
            <w:rFonts w:eastAsiaTheme="minorHAnsi"/>
          </w:rPr>
          <w:t>Annexe 7. Les évolutions de l’efficience</w:t>
        </w:r>
        <w:r w:rsidR="00403050">
          <w:rPr>
            <w:webHidden/>
          </w:rPr>
          <w:tab/>
        </w:r>
        <w:r w:rsidR="00403050">
          <w:rPr>
            <w:webHidden/>
          </w:rPr>
          <w:fldChar w:fldCharType="begin"/>
        </w:r>
        <w:r w:rsidR="00403050">
          <w:rPr>
            <w:webHidden/>
          </w:rPr>
          <w:instrText xml:space="preserve"> PAGEREF _Toc25688798 \h </w:instrText>
        </w:r>
        <w:r w:rsidR="00403050">
          <w:rPr>
            <w:webHidden/>
          </w:rPr>
        </w:r>
        <w:r w:rsidR="00403050">
          <w:rPr>
            <w:webHidden/>
          </w:rPr>
          <w:fldChar w:fldCharType="separate"/>
        </w:r>
        <w:r w:rsidR="00403050">
          <w:rPr>
            <w:webHidden/>
          </w:rPr>
          <w:t>35</w:t>
        </w:r>
        <w:r w:rsidR="00403050">
          <w:rPr>
            <w:webHidden/>
          </w:rPr>
          <w:fldChar w:fldCharType="end"/>
        </w:r>
      </w:hyperlink>
    </w:p>
    <w:p w:rsidR="00403050" w:rsidRDefault="00E9242B">
      <w:pPr>
        <w:pStyle w:val="TM1"/>
        <w:rPr>
          <w:rFonts w:asciiTheme="minorHAnsi" w:eastAsiaTheme="minorEastAsia" w:hAnsiTheme="minorHAnsi" w:cstheme="minorBidi"/>
          <w:b w:val="0"/>
          <w:smallCaps w:val="0"/>
          <w:sz w:val="22"/>
          <w:szCs w:val="22"/>
          <w:lang w:val="fr-BE" w:eastAsia="fr-BE"/>
        </w:rPr>
      </w:pPr>
      <w:hyperlink w:anchor="_Toc25688799" w:history="1">
        <w:r w:rsidR="00403050" w:rsidRPr="00475B89">
          <w:rPr>
            <w:rStyle w:val="Lienhypertexte"/>
          </w:rPr>
          <w:t>Annexe 8. Commentaires propres à la mesure 10 : MAEC</w:t>
        </w:r>
        <w:r w:rsidR="00403050">
          <w:rPr>
            <w:webHidden/>
          </w:rPr>
          <w:tab/>
        </w:r>
        <w:r w:rsidR="00403050">
          <w:rPr>
            <w:webHidden/>
          </w:rPr>
          <w:fldChar w:fldCharType="begin"/>
        </w:r>
        <w:r w:rsidR="00403050">
          <w:rPr>
            <w:webHidden/>
          </w:rPr>
          <w:instrText xml:space="preserve"> PAGEREF _Toc25688799 \h </w:instrText>
        </w:r>
        <w:r w:rsidR="00403050">
          <w:rPr>
            <w:webHidden/>
          </w:rPr>
        </w:r>
        <w:r w:rsidR="00403050">
          <w:rPr>
            <w:webHidden/>
          </w:rPr>
          <w:fldChar w:fldCharType="separate"/>
        </w:r>
        <w:r w:rsidR="00403050">
          <w:rPr>
            <w:webHidden/>
          </w:rPr>
          <w:t>37</w:t>
        </w:r>
        <w:r w:rsidR="00403050">
          <w:rPr>
            <w:webHidden/>
          </w:rPr>
          <w:fldChar w:fldCharType="end"/>
        </w:r>
      </w:hyperlink>
    </w:p>
    <w:p w:rsidR="00403050" w:rsidRDefault="00E9242B">
      <w:pPr>
        <w:pStyle w:val="TM1"/>
        <w:rPr>
          <w:rFonts w:asciiTheme="minorHAnsi" w:eastAsiaTheme="minorEastAsia" w:hAnsiTheme="minorHAnsi" w:cstheme="minorBidi"/>
          <w:b w:val="0"/>
          <w:smallCaps w:val="0"/>
          <w:sz w:val="22"/>
          <w:szCs w:val="22"/>
          <w:lang w:val="fr-BE" w:eastAsia="fr-BE"/>
        </w:rPr>
      </w:pPr>
      <w:hyperlink w:anchor="_Toc25688800" w:history="1">
        <w:r w:rsidR="00403050" w:rsidRPr="00475B89">
          <w:rPr>
            <w:rStyle w:val="Lienhypertexte"/>
          </w:rPr>
          <w:t>Annexe 9. Résultats d’enquête auprès d’agriculteurs sur la mesure 10 : MAEC</w:t>
        </w:r>
        <w:r w:rsidR="00403050">
          <w:rPr>
            <w:webHidden/>
          </w:rPr>
          <w:tab/>
        </w:r>
        <w:r w:rsidR="00403050">
          <w:rPr>
            <w:webHidden/>
          </w:rPr>
          <w:fldChar w:fldCharType="begin"/>
        </w:r>
        <w:r w:rsidR="00403050">
          <w:rPr>
            <w:webHidden/>
          </w:rPr>
          <w:instrText xml:space="preserve"> PAGEREF _Toc25688800 \h </w:instrText>
        </w:r>
        <w:r w:rsidR="00403050">
          <w:rPr>
            <w:webHidden/>
          </w:rPr>
        </w:r>
        <w:r w:rsidR="00403050">
          <w:rPr>
            <w:webHidden/>
          </w:rPr>
          <w:fldChar w:fldCharType="separate"/>
        </w:r>
        <w:r w:rsidR="00403050">
          <w:rPr>
            <w:webHidden/>
          </w:rPr>
          <w:t>39</w:t>
        </w:r>
        <w:r w:rsidR="00403050">
          <w:rPr>
            <w:webHidden/>
          </w:rPr>
          <w:fldChar w:fldCharType="end"/>
        </w:r>
      </w:hyperlink>
    </w:p>
    <w:p w:rsidR="00403050" w:rsidRDefault="00E9242B">
      <w:pPr>
        <w:pStyle w:val="TM1"/>
        <w:rPr>
          <w:rFonts w:asciiTheme="minorHAnsi" w:eastAsiaTheme="minorEastAsia" w:hAnsiTheme="minorHAnsi" w:cstheme="minorBidi"/>
          <w:b w:val="0"/>
          <w:smallCaps w:val="0"/>
          <w:sz w:val="22"/>
          <w:szCs w:val="22"/>
          <w:lang w:val="fr-BE" w:eastAsia="fr-BE"/>
        </w:rPr>
      </w:pPr>
      <w:hyperlink w:anchor="_Toc25688809" w:history="1">
        <w:r w:rsidR="00403050" w:rsidRPr="00475B89">
          <w:rPr>
            <w:rStyle w:val="Lienhypertexte"/>
          </w:rPr>
          <w:t>Références</w:t>
        </w:r>
        <w:r w:rsidR="00403050">
          <w:rPr>
            <w:webHidden/>
          </w:rPr>
          <w:tab/>
        </w:r>
        <w:r w:rsidR="00403050">
          <w:rPr>
            <w:webHidden/>
          </w:rPr>
          <w:fldChar w:fldCharType="begin"/>
        </w:r>
        <w:r w:rsidR="00403050">
          <w:rPr>
            <w:webHidden/>
          </w:rPr>
          <w:instrText xml:space="preserve"> PAGEREF _Toc25688809 \h </w:instrText>
        </w:r>
        <w:r w:rsidR="00403050">
          <w:rPr>
            <w:webHidden/>
          </w:rPr>
        </w:r>
        <w:r w:rsidR="00403050">
          <w:rPr>
            <w:webHidden/>
          </w:rPr>
          <w:fldChar w:fldCharType="separate"/>
        </w:r>
        <w:r w:rsidR="00403050">
          <w:rPr>
            <w:webHidden/>
          </w:rPr>
          <w:t>51</w:t>
        </w:r>
        <w:r w:rsidR="00403050">
          <w:rPr>
            <w:webHidden/>
          </w:rPr>
          <w:fldChar w:fldCharType="end"/>
        </w:r>
      </w:hyperlink>
    </w:p>
    <w:p w:rsidR="00403050" w:rsidRDefault="00E9242B">
      <w:pPr>
        <w:pStyle w:val="TM1"/>
        <w:rPr>
          <w:rFonts w:asciiTheme="minorHAnsi" w:eastAsiaTheme="minorEastAsia" w:hAnsiTheme="minorHAnsi" w:cstheme="minorBidi"/>
          <w:b w:val="0"/>
          <w:smallCaps w:val="0"/>
          <w:sz w:val="22"/>
          <w:szCs w:val="22"/>
          <w:lang w:val="fr-BE" w:eastAsia="fr-BE"/>
        </w:rPr>
      </w:pPr>
      <w:hyperlink w:anchor="_Toc25688810" w:history="1">
        <w:r w:rsidR="00403050" w:rsidRPr="00475B89">
          <w:rPr>
            <w:rStyle w:val="Lienhypertexte"/>
          </w:rPr>
          <w:t>Annexe 10. Bilan des réalisations, mesure 4.1 investissements dans les exploitations agricoles</w:t>
        </w:r>
        <w:r w:rsidR="00403050">
          <w:rPr>
            <w:webHidden/>
          </w:rPr>
          <w:tab/>
        </w:r>
        <w:r w:rsidR="00403050">
          <w:rPr>
            <w:webHidden/>
          </w:rPr>
          <w:fldChar w:fldCharType="begin"/>
        </w:r>
        <w:r w:rsidR="00403050">
          <w:rPr>
            <w:webHidden/>
          </w:rPr>
          <w:instrText xml:space="preserve"> PAGEREF _Toc25688810 \h </w:instrText>
        </w:r>
        <w:r w:rsidR="00403050">
          <w:rPr>
            <w:webHidden/>
          </w:rPr>
        </w:r>
        <w:r w:rsidR="00403050">
          <w:rPr>
            <w:webHidden/>
          </w:rPr>
          <w:fldChar w:fldCharType="separate"/>
        </w:r>
        <w:r w:rsidR="00403050">
          <w:rPr>
            <w:webHidden/>
          </w:rPr>
          <w:t>55</w:t>
        </w:r>
        <w:r w:rsidR="00403050">
          <w:rPr>
            <w:webHidden/>
          </w:rPr>
          <w:fldChar w:fldCharType="end"/>
        </w:r>
      </w:hyperlink>
    </w:p>
    <w:p w:rsidR="00403050" w:rsidRDefault="00E9242B">
      <w:pPr>
        <w:pStyle w:val="TM1"/>
        <w:rPr>
          <w:rFonts w:asciiTheme="minorHAnsi" w:eastAsiaTheme="minorEastAsia" w:hAnsiTheme="minorHAnsi" w:cstheme="minorBidi"/>
          <w:b w:val="0"/>
          <w:smallCaps w:val="0"/>
          <w:sz w:val="22"/>
          <w:szCs w:val="22"/>
          <w:lang w:val="fr-BE" w:eastAsia="fr-BE"/>
        </w:rPr>
      </w:pPr>
      <w:hyperlink w:anchor="_Toc25688811" w:history="1">
        <w:r w:rsidR="00403050" w:rsidRPr="00475B89">
          <w:rPr>
            <w:rStyle w:val="Lienhypertexte"/>
          </w:rPr>
          <w:t>Annexe 11. QE</w:t>
        </w:r>
        <w:r w:rsidR="00403050" w:rsidRPr="00475B89">
          <w:rPr>
            <w:rStyle w:val="Lienhypertexte"/>
          </w:rPr>
          <w:t>C</w:t>
        </w:r>
        <w:r w:rsidR="00403050" w:rsidRPr="00475B89">
          <w:rPr>
            <w:rStyle w:val="Lienhypertexte"/>
          </w:rPr>
          <w:t xml:space="preserve"> 4</w:t>
        </w:r>
        <w:r w:rsidR="00403050">
          <w:rPr>
            <w:webHidden/>
          </w:rPr>
          <w:tab/>
        </w:r>
        <w:r w:rsidR="00403050">
          <w:rPr>
            <w:webHidden/>
          </w:rPr>
          <w:fldChar w:fldCharType="begin"/>
        </w:r>
        <w:r w:rsidR="00403050">
          <w:rPr>
            <w:webHidden/>
          </w:rPr>
          <w:instrText xml:space="preserve"> PAGEREF _Toc25688811 \h </w:instrText>
        </w:r>
        <w:r w:rsidR="00403050">
          <w:rPr>
            <w:webHidden/>
          </w:rPr>
        </w:r>
        <w:r w:rsidR="00403050">
          <w:rPr>
            <w:webHidden/>
          </w:rPr>
          <w:fldChar w:fldCharType="separate"/>
        </w:r>
        <w:r w:rsidR="00403050">
          <w:rPr>
            <w:webHidden/>
          </w:rPr>
          <w:t>57</w:t>
        </w:r>
        <w:r w:rsidR="00403050">
          <w:rPr>
            <w:webHidden/>
          </w:rPr>
          <w:fldChar w:fldCharType="end"/>
        </w:r>
      </w:hyperlink>
    </w:p>
    <w:p w:rsidR="00403050" w:rsidRDefault="00E9242B">
      <w:pPr>
        <w:pStyle w:val="TM1"/>
        <w:rPr>
          <w:rFonts w:asciiTheme="minorHAnsi" w:eastAsiaTheme="minorEastAsia" w:hAnsiTheme="minorHAnsi" w:cstheme="minorBidi"/>
          <w:b w:val="0"/>
          <w:smallCaps w:val="0"/>
          <w:sz w:val="22"/>
          <w:szCs w:val="22"/>
          <w:lang w:val="fr-BE" w:eastAsia="fr-BE"/>
        </w:rPr>
      </w:pPr>
      <w:hyperlink w:anchor="_Toc25688812" w:history="1">
        <w:r w:rsidR="00403050" w:rsidRPr="00475B89">
          <w:rPr>
            <w:rStyle w:val="Lienhypertexte"/>
          </w:rPr>
          <w:t>Annexe 12. QEC 21</w:t>
        </w:r>
        <w:r w:rsidR="00403050">
          <w:rPr>
            <w:webHidden/>
          </w:rPr>
          <w:tab/>
        </w:r>
        <w:r w:rsidR="00403050">
          <w:rPr>
            <w:webHidden/>
          </w:rPr>
          <w:fldChar w:fldCharType="begin"/>
        </w:r>
        <w:r w:rsidR="00403050">
          <w:rPr>
            <w:webHidden/>
          </w:rPr>
          <w:instrText xml:space="preserve"> PAGEREF _Toc25688812 \h </w:instrText>
        </w:r>
        <w:r w:rsidR="00403050">
          <w:rPr>
            <w:webHidden/>
          </w:rPr>
        </w:r>
        <w:r w:rsidR="00403050">
          <w:rPr>
            <w:webHidden/>
          </w:rPr>
          <w:fldChar w:fldCharType="separate"/>
        </w:r>
        <w:r w:rsidR="00403050">
          <w:rPr>
            <w:webHidden/>
          </w:rPr>
          <w:t>62</w:t>
        </w:r>
        <w:r w:rsidR="00403050">
          <w:rPr>
            <w:webHidden/>
          </w:rPr>
          <w:fldChar w:fldCharType="end"/>
        </w:r>
      </w:hyperlink>
    </w:p>
    <w:p w:rsidR="008232A8" w:rsidRDefault="008232A8" w:rsidP="008232A8">
      <w:pPr>
        <w:rPr>
          <w:lang w:val="en-US" w:eastAsia="en-US"/>
        </w:rPr>
      </w:pPr>
      <w:r>
        <w:rPr>
          <w:lang w:val="en-US" w:eastAsia="en-US"/>
        </w:rPr>
        <w:fldChar w:fldCharType="end"/>
      </w:r>
    </w:p>
    <w:p w:rsidR="008232A8" w:rsidRPr="008232A8" w:rsidRDefault="008232A8" w:rsidP="008232A8">
      <w:pPr>
        <w:rPr>
          <w:lang w:val="en-US" w:eastAsia="en-US"/>
        </w:rPr>
      </w:pPr>
    </w:p>
    <w:p w:rsidR="00432D1B" w:rsidRDefault="00432D1B" w:rsidP="00C7510B">
      <w:pPr>
        <w:keepNext/>
        <w:keepLines/>
        <w:spacing w:before="240"/>
        <w:outlineLvl w:val="1"/>
        <w:rPr>
          <w:rFonts w:asciiTheme="majorHAnsi" w:eastAsiaTheme="majorEastAsia" w:hAnsiTheme="majorHAnsi" w:cstheme="majorBidi"/>
          <w:b/>
          <w:sz w:val="28"/>
          <w:szCs w:val="26"/>
        </w:rPr>
        <w:sectPr w:rsidR="00432D1B" w:rsidSect="00432D1B">
          <w:headerReference w:type="default" r:id="rId16"/>
          <w:footerReference w:type="default" r:id="rId17"/>
          <w:type w:val="oddPage"/>
          <w:pgSz w:w="11906" w:h="16838"/>
          <w:pgMar w:top="1417" w:right="1417" w:bottom="1417" w:left="1417" w:header="708" w:footer="708" w:gutter="0"/>
          <w:cols w:space="708"/>
          <w:docGrid w:linePitch="360"/>
        </w:sectPr>
      </w:pPr>
      <w:bookmarkStart w:id="53" w:name="_Toc1055142"/>
      <w:bookmarkStart w:id="54" w:name="_Toc11278965"/>
    </w:p>
    <w:p w:rsidR="00C7510B" w:rsidRPr="00C7510B" w:rsidRDefault="00C7510B" w:rsidP="00432D1B">
      <w:pPr>
        <w:pStyle w:val="Titre1"/>
      </w:pPr>
      <w:bookmarkStart w:id="55" w:name="_Toc25688770"/>
      <w:r w:rsidRPr="00C7510B">
        <w:lastRenderedPageBreak/>
        <w:t>Liste d’acronymes, codes et abréviations</w:t>
      </w:r>
      <w:bookmarkEnd w:id="53"/>
      <w:bookmarkEnd w:id="54"/>
      <w:bookmarkEnd w:id="55"/>
    </w:p>
    <w:tbl>
      <w:tblPr>
        <w:tblStyle w:val="Grilledutableau15"/>
        <w:tblW w:w="9067" w:type="dxa"/>
        <w:tblLook w:val="04A0" w:firstRow="1" w:lastRow="0" w:firstColumn="1" w:lastColumn="0" w:noHBand="0" w:noVBand="1"/>
      </w:tblPr>
      <w:tblGrid>
        <w:gridCol w:w="1696"/>
        <w:gridCol w:w="7371"/>
      </w:tblGrid>
      <w:tr w:rsidR="00C7510B" w:rsidRPr="00432D1B" w:rsidTr="00432D1B">
        <w:tc>
          <w:tcPr>
            <w:tcW w:w="1696" w:type="dxa"/>
            <w:shd w:val="clear" w:color="auto" w:fill="A50021"/>
          </w:tcPr>
          <w:p w:rsidR="00C7510B" w:rsidRPr="00432D1B" w:rsidRDefault="00C7510B" w:rsidP="00C7510B">
            <w:pPr>
              <w:rPr>
                <w:rFonts w:eastAsiaTheme="minorHAnsi" w:cstheme="minorBidi"/>
                <w:b/>
                <w:sz w:val="22"/>
                <w:szCs w:val="22"/>
              </w:rPr>
            </w:pPr>
            <w:r w:rsidRPr="00432D1B">
              <w:rPr>
                <w:rFonts w:eastAsiaTheme="minorHAnsi" w:cstheme="minorBidi"/>
                <w:b/>
                <w:sz w:val="22"/>
                <w:szCs w:val="22"/>
              </w:rPr>
              <w:t>Sigle</w:t>
            </w:r>
          </w:p>
        </w:tc>
        <w:tc>
          <w:tcPr>
            <w:tcW w:w="7371" w:type="dxa"/>
            <w:shd w:val="clear" w:color="auto" w:fill="A50021"/>
          </w:tcPr>
          <w:p w:rsidR="00C7510B" w:rsidRPr="00432D1B" w:rsidRDefault="00C7510B" w:rsidP="00C7510B">
            <w:pPr>
              <w:rPr>
                <w:rFonts w:eastAsiaTheme="minorHAnsi" w:cstheme="minorBidi"/>
                <w:b/>
                <w:sz w:val="22"/>
                <w:szCs w:val="22"/>
              </w:rPr>
            </w:pPr>
            <w:r w:rsidRPr="00432D1B">
              <w:rPr>
                <w:rFonts w:eastAsiaTheme="minorHAnsi" w:cstheme="minorBidi"/>
                <w:b/>
                <w:sz w:val="22"/>
                <w:szCs w:val="22"/>
              </w:rPr>
              <w:t>Signification</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ARSIA</w:t>
            </w:r>
          </w:p>
        </w:tc>
        <w:tc>
          <w:tcPr>
            <w:tcW w:w="7371" w:type="dxa"/>
          </w:tcPr>
          <w:p w:rsidR="00C7510B" w:rsidRPr="00057CAF" w:rsidRDefault="00C7510B" w:rsidP="00C7510B">
            <w:pPr>
              <w:rPr>
                <w:rFonts w:eastAsiaTheme="minorHAnsi" w:cstheme="majorHAnsi"/>
                <w:sz w:val="22"/>
                <w:szCs w:val="22"/>
                <w:lang w:val="fr-FR"/>
              </w:rPr>
            </w:pPr>
            <w:r w:rsidRPr="00057CAF">
              <w:rPr>
                <w:rFonts w:eastAsiaTheme="minorHAnsi" w:cstheme="majorHAnsi"/>
                <w:sz w:val="22"/>
                <w:szCs w:val="22"/>
                <w:shd w:val="clear" w:color="auto" w:fill="FFFFFF"/>
                <w:lang w:val="fr-FR"/>
              </w:rPr>
              <w:t>Association Régionale de Santé et d'Identification Animales</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BNIP</w:t>
            </w:r>
          </w:p>
        </w:tc>
        <w:tc>
          <w:tcPr>
            <w:tcW w:w="7371" w:type="dxa"/>
          </w:tcPr>
          <w:p w:rsidR="00C7510B" w:rsidRPr="00432D1B" w:rsidRDefault="00C7510B" w:rsidP="00C7510B">
            <w:pPr>
              <w:rPr>
                <w:rFonts w:eastAsiaTheme="minorHAnsi" w:cstheme="majorHAnsi"/>
                <w:sz w:val="22"/>
                <w:szCs w:val="22"/>
              </w:rPr>
            </w:pPr>
            <w:r w:rsidRPr="00432D1B">
              <w:rPr>
                <w:rFonts w:eastAsiaTheme="minorHAnsi" w:cstheme="majorHAnsi"/>
                <w:sz w:val="22"/>
                <w:szCs w:val="22"/>
              </w:rPr>
              <w:t>Belgian National Integrated Project (</w:t>
            </w:r>
            <w:proofErr w:type="spellStart"/>
            <w:r w:rsidRPr="00432D1B">
              <w:rPr>
                <w:rFonts w:eastAsiaTheme="minorHAnsi" w:cstheme="majorHAnsi"/>
                <w:sz w:val="22"/>
                <w:szCs w:val="22"/>
              </w:rPr>
              <w:t>projet</w:t>
            </w:r>
            <w:proofErr w:type="spellEnd"/>
            <w:r w:rsidRPr="00432D1B">
              <w:rPr>
                <w:rFonts w:eastAsiaTheme="minorHAnsi" w:cstheme="majorHAnsi"/>
                <w:sz w:val="22"/>
                <w:szCs w:val="22"/>
              </w:rPr>
              <w:t xml:space="preserve"> LIFE </w:t>
            </w:r>
            <w:proofErr w:type="spellStart"/>
            <w:r w:rsidRPr="00432D1B">
              <w:rPr>
                <w:rFonts w:eastAsiaTheme="minorHAnsi" w:cstheme="majorHAnsi"/>
                <w:sz w:val="22"/>
                <w:szCs w:val="22"/>
              </w:rPr>
              <w:t>intégré</w:t>
            </w:r>
            <w:proofErr w:type="spellEnd"/>
            <w:r w:rsidRPr="00432D1B">
              <w:rPr>
                <w:rFonts w:eastAsiaTheme="minorHAnsi" w:cstheme="majorHAnsi"/>
                <w:sz w:val="22"/>
                <w:szCs w:val="22"/>
              </w:rPr>
              <w:t>)</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CIPAN</w:t>
            </w:r>
          </w:p>
        </w:tc>
        <w:tc>
          <w:tcPr>
            <w:tcW w:w="7371" w:type="dxa"/>
          </w:tcPr>
          <w:p w:rsidR="00C7510B" w:rsidRPr="00057CAF" w:rsidRDefault="00C7510B" w:rsidP="00C7510B">
            <w:pPr>
              <w:rPr>
                <w:rFonts w:eastAsiaTheme="minorHAnsi" w:cstheme="majorHAnsi"/>
                <w:sz w:val="22"/>
                <w:szCs w:val="22"/>
                <w:lang w:val="fr-FR"/>
              </w:rPr>
            </w:pPr>
            <w:r w:rsidRPr="00057CAF">
              <w:rPr>
                <w:rFonts w:eastAsiaTheme="minorHAnsi" w:cstheme="majorHAnsi"/>
                <w:sz w:val="22"/>
                <w:szCs w:val="22"/>
                <w:lang w:val="fr-FR"/>
              </w:rPr>
              <w:t>Culture intercalaire piège à nitrates</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COV</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Composé</w:t>
            </w:r>
            <w:proofErr w:type="spellEnd"/>
            <w:r w:rsidRPr="00432D1B">
              <w:rPr>
                <w:rFonts w:eastAsiaTheme="minorHAnsi" w:cstheme="minorBidi"/>
                <w:sz w:val="22"/>
                <w:szCs w:val="22"/>
              </w:rPr>
              <w:t xml:space="preserve"> </w:t>
            </w:r>
            <w:proofErr w:type="spellStart"/>
            <w:r w:rsidRPr="00432D1B">
              <w:rPr>
                <w:rFonts w:eastAsiaTheme="minorHAnsi" w:cstheme="minorBidi"/>
                <w:sz w:val="22"/>
                <w:szCs w:val="22"/>
              </w:rPr>
              <w:t>organique</w:t>
            </w:r>
            <w:proofErr w:type="spellEnd"/>
            <w:r w:rsidRPr="00432D1B">
              <w:rPr>
                <w:rFonts w:eastAsiaTheme="minorHAnsi" w:cstheme="minorBidi"/>
                <w:sz w:val="22"/>
                <w:szCs w:val="22"/>
              </w:rPr>
              <w:t xml:space="preserve"> volatile</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FBI</w:t>
            </w:r>
          </w:p>
        </w:tc>
        <w:tc>
          <w:tcPr>
            <w:tcW w:w="7371"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 xml:space="preserve">Farmland Bird Index </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HVN</w:t>
            </w:r>
          </w:p>
        </w:tc>
        <w:tc>
          <w:tcPr>
            <w:tcW w:w="7371"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 xml:space="preserve">Haute </w:t>
            </w:r>
            <w:proofErr w:type="spellStart"/>
            <w:r w:rsidRPr="00432D1B">
              <w:rPr>
                <w:rFonts w:eastAsiaTheme="minorHAnsi" w:cstheme="minorBidi"/>
                <w:sz w:val="22"/>
                <w:szCs w:val="22"/>
              </w:rPr>
              <w:t>valeur</w:t>
            </w:r>
            <w:proofErr w:type="spellEnd"/>
            <w:r w:rsidRPr="00432D1B">
              <w:rPr>
                <w:rFonts w:eastAsiaTheme="minorHAnsi" w:cstheme="minorBidi"/>
                <w:sz w:val="22"/>
                <w:szCs w:val="22"/>
              </w:rPr>
              <w:t xml:space="preserve"> naturelle</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ICHN</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Indemnités compensatoires de handicaps naturels</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LEADER</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Liaison entre Actions de Développement de l’Économie Rurale</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Mesure</w:t>
            </w:r>
            <w:proofErr w:type="spellEnd"/>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Transferts de connaissance et actions d’information</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M1.1</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Aide à la formation professionnelle et à l’acquisition de compétences (pour mémoire car soustrait au financement FEADER)</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M1.2</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 xml:space="preserve">Aides aux activités de démonstration et aux actions d’information </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M10</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Agroenvironnement</w:t>
            </w:r>
            <w:proofErr w:type="spellEnd"/>
            <w:r w:rsidRPr="00432D1B">
              <w:rPr>
                <w:rFonts w:eastAsiaTheme="minorHAnsi" w:cstheme="minorBidi"/>
                <w:sz w:val="22"/>
                <w:szCs w:val="22"/>
              </w:rPr>
              <w:t xml:space="preserve"> – </w:t>
            </w:r>
            <w:proofErr w:type="spellStart"/>
            <w:r w:rsidRPr="00432D1B">
              <w:rPr>
                <w:rFonts w:eastAsiaTheme="minorHAnsi" w:cstheme="minorBidi"/>
                <w:sz w:val="22"/>
                <w:szCs w:val="22"/>
              </w:rPr>
              <w:t>climat</w:t>
            </w:r>
            <w:proofErr w:type="spellEnd"/>
            <w:r w:rsidRPr="00432D1B">
              <w:rPr>
                <w:rFonts w:eastAsiaTheme="minorHAnsi" w:cstheme="minorBidi"/>
                <w:sz w:val="22"/>
                <w:szCs w:val="22"/>
              </w:rPr>
              <w:t xml:space="preserve"> (MAEC)</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M11</w:t>
            </w:r>
          </w:p>
        </w:tc>
        <w:tc>
          <w:tcPr>
            <w:tcW w:w="7371"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 xml:space="preserve">Agriculture </w:t>
            </w:r>
            <w:proofErr w:type="spellStart"/>
            <w:r w:rsidRPr="00432D1B">
              <w:rPr>
                <w:rFonts w:eastAsiaTheme="minorHAnsi" w:cstheme="minorBidi"/>
                <w:sz w:val="22"/>
                <w:szCs w:val="22"/>
              </w:rPr>
              <w:t>biologique</w:t>
            </w:r>
            <w:proofErr w:type="spellEnd"/>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M11.1</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Paiement pour la conversion aux pratiques et méthodes de l’agriculture biologique</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M11.2</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Paiement au maintien des pratiques et méthodes de l’agriculture biologique</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M12</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Paiements au titre de Natura 2000 et de la directive-cadre sur l’eau</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M12.1</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Paiements d’indemnités en faveur des zones agricoles Natura 2000</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M12.2</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Paiements d’indemnités en faveur des zones forestières Natura 2000</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M13</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 xml:space="preserve">Paiements en faveur des zones soumises à des contraintes naturelles ou à d’autres contraintes spécifiques </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M13.2</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Paiements en faveur des zones soumises à des contraintes naturelles importantes</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M16</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Coopération</w:t>
            </w:r>
            <w:proofErr w:type="spellEnd"/>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M16.3</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Coopération entre petits opérateurs pour l’organisation de processus de travail communs et le partage d’installations ou de ressources, ainsi que pour le développement et/ou la commercialisation de services touristiques liés au tourisme rural</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M16.9</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Aide à la diversification des activités agricoles vers des activités ayant trait aux soins de santé, à l’intégration sociale, à l’agriculture soutenue par les consommateurs ainsi qu’à l’éducation dans les domaines de la santé et de l’alimentation</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M19</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Soutien au développement local Leader</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M19.1</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Soutien</w:t>
            </w:r>
            <w:proofErr w:type="spellEnd"/>
            <w:r w:rsidRPr="00432D1B">
              <w:rPr>
                <w:rFonts w:eastAsiaTheme="minorHAnsi" w:cstheme="minorBidi"/>
                <w:sz w:val="22"/>
                <w:szCs w:val="22"/>
              </w:rPr>
              <w:t xml:space="preserve"> </w:t>
            </w:r>
            <w:proofErr w:type="spellStart"/>
            <w:r w:rsidRPr="00432D1B">
              <w:rPr>
                <w:rFonts w:eastAsiaTheme="minorHAnsi" w:cstheme="minorBidi"/>
                <w:sz w:val="22"/>
                <w:szCs w:val="22"/>
              </w:rPr>
              <w:t>préparatoire</w:t>
            </w:r>
            <w:proofErr w:type="spellEnd"/>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M19.2</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Aide à la mise en œuvre d’opérations dans le cadre de la stratégie de développement local mené par des acteurs locaux</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M4</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Investissements</w:t>
            </w:r>
            <w:proofErr w:type="spellEnd"/>
            <w:r w:rsidRPr="00432D1B">
              <w:rPr>
                <w:rFonts w:eastAsiaTheme="minorHAnsi" w:cstheme="minorBidi"/>
                <w:sz w:val="22"/>
                <w:szCs w:val="22"/>
              </w:rPr>
              <w:t xml:space="preserve"> physiques</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M4.1</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Investissements dans les exploitations agricoles</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M4.2</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Investissements dans la transformation et commercialisation de produits agricoles ou le développement de produits agricoles</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M6</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Développement des exploitations agricoles et des entreprises</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M6.1</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Aide au démarrage d’entreprises pour les jeunes agriculteurs</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M6.4A</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Investissements de diversification par les agriculteurs vers des activités extra-agricoles (hors biométhanisation)</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M6.4B</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Investissements d’entreprises non-agricoles ou investissements d’agriculteurs pour la biométhanisation avec vente</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M7</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Services de base et rénovation des villages dans les zones rurales</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M7.2</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 xml:space="preserve">Investissements dans la création, l’amélioration ou le développement d’infrastructure dans le domaine de la santé (« Investissements dans la création, le développement ou </w:t>
            </w:r>
            <w:r w:rsidRPr="00057CAF">
              <w:rPr>
                <w:rFonts w:eastAsiaTheme="minorHAnsi" w:cstheme="minorBidi"/>
                <w:sz w:val="22"/>
                <w:szCs w:val="22"/>
                <w:lang w:val="fr-FR"/>
              </w:rPr>
              <w:lastRenderedPageBreak/>
              <w:t>le développement de tout type d’infrastructure à petite échelle, notamment les investissements dans les énergies renouvelables et les économies d’énergie »)</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lastRenderedPageBreak/>
              <w:t>M7.4</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Investissements dans la mise en place, l’amélioration ou le développement des services de base au niveau local pour la population rurale, y compris les activités culturelles et récréatives, et des infrastructures qui y sont liées</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M7.5</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Aide aux investissements à l’usage du public dans les infrastructures récréatives, les informations touristiques et les infrastructures touristiques à petite échelle.</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M7.6</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 xml:space="preserve">Aide aux études et investissements liés à l’entretien, à la restauration et à la réhabilitation du patrimoine culturel et naturel des villages, des paysages ruraux et des sites à haute valeur naturelle, y compris les aspects socio-économiques, ainsi qu’aux actions de sensibilisation environnementale, </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M8</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Investissements dans le développement des zones forestières et amélioration de la viabilité des forêts</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M8.6</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Aides aux investissements dans les techniques forestières et dans la transformation, la mobilisation et la commercialisation des produits forestiers</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MAEC</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Méthode</w:t>
            </w:r>
            <w:proofErr w:type="spellEnd"/>
            <w:r w:rsidRPr="00432D1B">
              <w:rPr>
                <w:rFonts w:eastAsiaTheme="minorHAnsi" w:cstheme="minorBidi"/>
                <w:sz w:val="22"/>
                <w:szCs w:val="22"/>
              </w:rPr>
              <w:t xml:space="preserve"> </w:t>
            </w:r>
            <w:proofErr w:type="spellStart"/>
            <w:r w:rsidRPr="00432D1B">
              <w:rPr>
                <w:rFonts w:eastAsiaTheme="minorHAnsi" w:cstheme="minorBidi"/>
                <w:sz w:val="22"/>
                <w:szCs w:val="22"/>
              </w:rPr>
              <w:t>agroenvironnementale</w:t>
            </w:r>
            <w:proofErr w:type="spellEnd"/>
            <w:r w:rsidRPr="00432D1B">
              <w:rPr>
                <w:rFonts w:eastAsiaTheme="minorHAnsi" w:cstheme="minorBidi"/>
                <w:sz w:val="22"/>
                <w:szCs w:val="22"/>
              </w:rPr>
              <w:t xml:space="preserve"> et </w:t>
            </w:r>
            <w:proofErr w:type="spellStart"/>
            <w:r w:rsidRPr="00432D1B">
              <w:rPr>
                <w:rFonts w:eastAsiaTheme="minorHAnsi" w:cstheme="minorBidi"/>
                <w:sz w:val="22"/>
                <w:szCs w:val="22"/>
              </w:rPr>
              <w:t>climatique</w:t>
            </w:r>
            <w:proofErr w:type="spellEnd"/>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MB</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Méthodes</w:t>
            </w:r>
            <w:proofErr w:type="spellEnd"/>
            <w:r w:rsidRPr="00432D1B">
              <w:rPr>
                <w:rFonts w:eastAsiaTheme="minorHAnsi" w:cstheme="minorBidi"/>
                <w:sz w:val="22"/>
                <w:szCs w:val="22"/>
              </w:rPr>
              <w:t xml:space="preserve"> de base (MAEC)</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MB11</w:t>
            </w:r>
          </w:p>
        </w:tc>
        <w:tc>
          <w:tcPr>
            <w:tcW w:w="7371"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 xml:space="preserve">Races locales </w:t>
            </w:r>
            <w:proofErr w:type="spellStart"/>
            <w:r w:rsidRPr="00432D1B">
              <w:rPr>
                <w:rFonts w:eastAsiaTheme="minorHAnsi" w:cstheme="minorBidi"/>
                <w:sz w:val="22"/>
                <w:szCs w:val="22"/>
              </w:rPr>
              <w:t>menacées</w:t>
            </w:r>
            <w:proofErr w:type="spellEnd"/>
            <w:r w:rsidRPr="00432D1B">
              <w:rPr>
                <w:rFonts w:eastAsiaTheme="minorHAnsi" w:cstheme="minorBidi"/>
                <w:sz w:val="22"/>
                <w:szCs w:val="22"/>
              </w:rPr>
              <w:t xml:space="preserve"> (MAEC)</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MB1a</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Haies et alignements d’arbres (MAEC)</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MB1b</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Arbres isolés, buissons et bosquets (MAEC)</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MB1c</w:t>
            </w:r>
          </w:p>
        </w:tc>
        <w:tc>
          <w:tcPr>
            <w:tcW w:w="7371"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Mares (MAEC)</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MB2</w:t>
            </w:r>
          </w:p>
        </w:tc>
        <w:tc>
          <w:tcPr>
            <w:tcW w:w="7371"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 xml:space="preserve">Prairies </w:t>
            </w:r>
            <w:proofErr w:type="spellStart"/>
            <w:r w:rsidRPr="00432D1B">
              <w:rPr>
                <w:rFonts w:eastAsiaTheme="minorHAnsi" w:cstheme="minorBidi"/>
                <w:sz w:val="22"/>
                <w:szCs w:val="22"/>
              </w:rPr>
              <w:t>naturelles</w:t>
            </w:r>
            <w:proofErr w:type="spellEnd"/>
            <w:r w:rsidRPr="00432D1B">
              <w:rPr>
                <w:rFonts w:eastAsiaTheme="minorHAnsi" w:cstheme="minorBidi"/>
                <w:sz w:val="22"/>
                <w:szCs w:val="22"/>
              </w:rPr>
              <w:t xml:space="preserve"> (MAEC)</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MB5</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Tournières</w:t>
            </w:r>
            <w:proofErr w:type="spellEnd"/>
            <w:r w:rsidRPr="00432D1B">
              <w:rPr>
                <w:rFonts w:eastAsiaTheme="minorHAnsi" w:cstheme="minorBidi"/>
                <w:sz w:val="22"/>
                <w:szCs w:val="22"/>
              </w:rPr>
              <w:t xml:space="preserve"> </w:t>
            </w:r>
            <w:proofErr w:type="spellStart"/>
            <w:r w:rsidRPr="00432D1B">
              <w:rPr>
                <w:rFonts w:eastAsiaTheme="minorHAnsi" w:cstheme="minorBidi"/>
                <w:sz w:val="22"/>
                <w:szCs w:val="22"/>
              </w:rPr>
              <w:t>enherbées</w:t>
            </w:r>
            <w:proofErr w:type="spellEnd"/>
            <w:r w:rsidRPr="00432D1B">
              <w:rPr>
                <w:rFonts w:eastAsiaTheme="minorHAnsi" w:cstheme="minorBidi"/>
                <w:sz w:val="22"/>
                <w:szCs w:val="22"/>
              </w:rPr>
              <w:t xml:space="preserve"> (MAEC)</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MB6</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Cultures favorables à l’environnement (MAEC)</w:t>
            </w:r>
          </w:p>
        </w:tc>
      </w:tr>
      <w:tr w:rsidR="00C7510B" w:rsidRPr="00432D1B" w:rsidTr="00135572">
        <w:trPr>
          <w:trHeight w:val="207"/>
        </w:trPr>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MB9</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Autonomie</w:t>
            </w:r>
            <w:proofErr w:type="spellEnd"/>
            <w:r w:rsidRPr="00432D1B">
              <w:rPr>
                <w:rFonts w:eastAsiaTheme="minorHAnsi" w:cstheme="minorBidi"/>
                <w:sz w:val="22"/>
                <w:szCs w:val="22"/>
              </w:rPr>
              <w:t xml:space="preserve"> </w:t>
            </w:r>
            <w:proofErr w:type="spellStart"/>
            <w:r w:rsidRPr="00432D1B">
              <w:rPr>
                <w:rFonts w:eastAsiaTheme="minorHAnsi" w:cstheme="minorBidi"/>
                <w:sz w:val="22"/>
                <w:szCs w:val="22"/>
              </w:rPr>
              <w:t>fourragère</w:t>
            </w:r>
            <w:proofErr w:type="spellEnd"/>
            <w:r w:rsidRPr="00432D1B">
              <w:rPr>
                <w:rFonts w:eastAsiaTheme="minorHAnsi" w:cstheme="minorBidi"/>
                <w:sz w:val="22"/>
                <w:szCs w:val="22"/>
              </w:rPr>
              <w:t xml:space="preserve"> (MAEC)</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MB9.A</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Autonomie fourragère avec charge limitée à 1,4 UGB/ha</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MB9.B</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Autonomie fourragère avec charge limitée à 1,8 UGB/ha</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MC</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Méthodes</w:t>
            </w:r>
            <w:proofErr w:type="spellEnd"/>
            <w:r w:rsidRPr="00432D1B">
              <w:rPr>
                <w:rFonts w:eastAsiaTheme="minorHAnsi" w:cstheme="minorBidi"/>
                <w:sz w:val="22"/>
                <w:szCs w:val="22"/>
              </w:rPr>
              <w:t xml:space="preserve"> </w:t>
            </w:r>
            <w:proofErr w:type="spellStart"/>
            <w:r w:rsidRPr="00432D1B">
              <w:rPr>
                <w:rFonts w:eastAsiaTheme="minorHAnsi" w:cstheme="minorBidi"/>
                <w:sz w:val="22"/>
                <w:szCs w:val="22"/>
              </w:rPr>
              <w:t>ciblées</w:t>
            </w:r>
            <w:proofErr w:type="spellEnd"/>
            <w:r w:rsidRPr="00432D1B">
              <w:rPr>
                <w:rFonts w:eastAsiaTheme="minorHAnsi" w:cstheme="minorBidi"/>
                <w:sz w:val="22"/>
                <w:szCs w:val="22"/>
              </w:rPr>
              <w:t xml:space="preserve"> (MAEC)</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MC10</w:t>
            </w:r>
          </w:p>
        </w:tc>
        <w:tc>
          <w:tcPr>
            <w:tcW w:w="7371"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 xml:space="preserve">Plan </w:t>
            </w:r>
            <w:proofErr w:type="spellStart"/>
            <w:r w:rsidRPr="00432D1B">
              <w:rPr>
                <w:rFonts w:eastAsiaTheme="minorHAnsi" w:cstheme="minorBidi"/>
                <w:sz w:val="22"/>
                <w:szCs w:val="22"/>
              </w:rPr>
              <w:t>d’action</w:t>
            </w:r>
            <w:proofErr w:type="spellEnd"/>
            <w:r w:rsidRPr="00432D1B">
              <w:rPr>
                <w:rFonts w:eastAsiaTheme="minorHAnsi" w:cstheme="minorBidi"/>
                <w:sz w:val="22"/>
                <w:szCs w:val="22"/>
              </w:rPr>
              <w:t xml:space="preserve"> </w:t>
            </w:r>
            <w:proofErr w:type="spellStart"/>
            <w:r w:rsidRPr="00432D1B">
              <w:rPr>
                <w:rFonts w:eastAsiaTheme="minorHAnsi" w:cstheme="minorBidi"/>
                <w:sz w:val="22"/>
                <w:szCs w:val="22"/>
              </w:rPr>
              <w:t>agroenvironnemental</w:t>
            </w:r>
            <w:proofErr w:type="spellEnd"/>
            <w:r w:rsidRPr="00432D1B">
              <w:rPr>
                <w:rFonts w:eastAsiaTheme="minorHAnsi" w:cstheme="minorBidi"/>
                <w:sz w:val="22"/>
                <w:szCs w:val="22"/>
              </w:rPr>
              <w:t xml:space="preserve"> (MAEC)</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MC3</w:t>
            </w:r>
          </w:p>
        </w:tc>
        <w:tc>
          <w:tcPr>
            <w:tcW w:w="7371"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 xml:space="preserve">Prairies </w:t>
            </w:r>
            <w:proofErr w:type="spellStart"/>
            <w:r w:rsidRPr="00432D1B">
              <w:rPr>
                <w:rFonts w:eastAsiaTheme="minorHAnsi" w:cstheme="minorBidi"/>
                <w:sz w:val="22"/>
                <w:szCs w:val="22"/>
              </w:rPr>
              <w:t>inondables</w:t>
            </w:r>
            <w:proofErr w:type="spellEnd"/>
            <w:r w:rsidRPr="00432D1B">
              <w:rPr>
                <w:rFonts w:eastAsiaTheme="minorHAnsi" w:cstheme="minorBidi"/>
                <w:sz w:val="22"/>
                <w:szCs w:val="22"/>
              </w:rPr>
              <w:t xml:space="preserve"> (MAEC)</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MC4</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Prairies de haute valeur biologique (MAEC)</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MC7</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Parcelles</w:t>
            </w:r>
            <w:proofErr w:type="spellEnd"/>
            <w:r w:rsidRPr="00432D1B">
              <w:rPr>
                <w:rFonts w:eastAsiaTheme="minorHAnsi" w:cstheme="minorBidi"/>
                <w:sz w:val="22"/>
                <w:szCs w:val="22"/>
              </w:rPr>
              <w:t xml:space="preserve"> </w:t>
            </w:r>
            <w:proofErr w:type="spellStart"/>
            <w:r w:rsidRPr="00432D1B">
              <w:rPr>
                <w:rFonts w:eastAsiaTheme="minorHAnsi" w:cstheme="minorBidi"/>
                <w:sz w:val="22"/>
                <w:szCs w:val="22"/>
              </w:rPr>
              <w:t>aménagées</w:t>
            </w:r>
            <w:proofErr w:type="spellEnd"/>
            <w:r w:rsidRPr="00432D1B">
              <w:rPr>
                <w:rFonts w:eastAsiaTheme="minorHAnsi" w:cstheme="minorBidi"/>
                <w:sz w:val="22"/>
                <w:szCs w:val="22"/>
              </w:rPr>
              <w:t xml:space="preserve"> (MAEC)</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MC8</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Bandes</w:t>
            </w:r>
            <w:proofErr w:type="spellEnd"/>
            <w:r w:rsidRPr="00432D1B">
              <w:rPr>
                <w:rFonts w:eastAsiaTheme="minorHAnsi" w:cstheme="minorBidi"/>
                <w:sz w:val="22"/>
                <w:szCs w:val="22"/>
              </w:rPr>
              <w:t xml:space="preserve"> </w:t>
            </w:r>
            <w:proofErr w:type="spellStart"/>
            <w:r w:rsidRPr="00432D1B">
              <w:rPr>
                <w:rFonts w:eastAsiaTheme="minorHAnsi" w:cstheme="minorBidi"/>
                <w:sz w:val="22"/>
                <w:szCs w:val="22"/>
              </w:rPr>
              <w:t>aménagées</w:t>
            </w:r>
            <w:proofErr w:type="spellEnd"/>
            <w:r w:rsidRPr="00432D1B">
              <w:rPr>
                <w:rFonts w:eastAsiaTheme="minorHAnsi" w:cstheme="minorBidi"/>
                <w:sz w:val="22"/>
                <w:szCs w:val="22"/>
              </w:rPr>
              <w:t xml:space="preserve"> (MAEC)</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PAF</w:t>
            </w:r>
          </w:p>
        </w:tc>
        <w:tc>
          <w:tcPr>
            <w:tcW w:w="7371" w:type="dxa"/>
          </w:tcPr>
          <w:p w:rsidR="00C7510B" w:rsidRPr="00057CAF" w:rsidRDefault="00C7510B" w:rsidP="00C7510B">
            <w:pPr>
              <w:rPr>
                <w:rFonts w:eastAsiaTheme="minorHAnsi" w:cstheme="minorBidi"/>
                <w:sz w:val="22"/>
                <w:szCs w:val="22"/>
                <w:lang w:val="fr-FR"/>
              </w:rPr>
            </w:pPr>
            <w:proofErr w:type="spellStart"/>
            <w:r w:rsidRPr="00057CAF">
              <w:rPr>
                <w:rFonts w:eastAsiaTheme="minorHAnsi" w:cstheme="minorBidi"/>
                <w:sz w:val="22"/>
                <w:szCs w:val="22"/>
                <w:lang w:val="fr-FR"/>
              </w:rPr>
              <w:t>Proritised</w:t>
            </w:r>
            <w:proofErr w:type="spellEnd"/>
            <w:r w:rsidRPr="00057CAF">
              <w:rPr>
                <w:rFonts w:eastAsiaTheme="minorHAnsi" w:cstheme="minorBidi"/>
                <w:sz w:val="22"/>
                <w:szCs w:val="22"/>
                <w:lang w:val="fr-FR"/>
              </w:rPr>
              <w:t xml:space="preserve"> Action Framework (Cadre d’action prioritaire, pour Natura 2000)</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PCDN</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Plan communal de développement de la nature</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PDR</w:t>
            </w:r>
          </w:p>
        </w:tc>
        <w:tc>
          <w:tcPr>
            <w:tcW w:w="7371"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 xml:space="preserve">Programme de </w:t>
            </w:r>
            <w:proofErr w:type="spellStart"/>
            <w:r w:rsidRPr="00432D1B">
              <w:rPr>
                <w:rFonts w:eastAsiaTheme="minorHAnsi" w:cstheme="minorBidi"/>
                <w:sz w:val="22"/>
                <w:szCs w:val="22"/>
              </w:rPr>
              <w:t>Développement</w:t>
            </w:r>
            <w:proofErr w:type="spellEnd"/>
            <w:r w:rsidRPr="00432D1B">
              <w:rPr>
                <w:rFonts w:eastAsiaTheme="minorHAnsi" w:cstheme="minorBidi"/>
                <w:sz w:val="22"/>
                <w:szCs w:val="22"/>
              </w:rPr>
              <w:t xml:space="preserve"> Rural</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PGDA</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Plan de gestion durable de l’azote</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PSM</w:t>
            </w:r>
          </w:p>
        </w:tc>
        <w:tc>
          <w:tcPr>
            <w:tcW w:w="7371"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Propensity Score Matching (</w:t>
            </w:r>
            <w:proofErr w:type="spellStart"/>
            <w:r w:rsidRPr="00432D1B">
              <w:rPr>
                <w:rFonts w:eastAsiaTheme="minorHAnsi" w:cstheme="minorBidi"/>
                <w:sz w:val="22"/>
                <w:szCs w:val="22"/>
              </w:rPr>
              <w:t>appariement</w:t>
            </w:r>
            <w:proofErr w:type="spellEnd"/>
            <w:r w:rsidRPr="00432D1B">
              <w:rPr>
                <w:rFonts w:eastAsiaTheme="minorHAnsi" w:cstheme="minorBidi"/>
                <w:sz w:val="22"/>
                <w:szCs w:val="22"/>
              </w:rPr>
              <w:t xml:space="preserve"> par score de propension)</w:t>
            </w:r>
          </w:p>
        </w:tc>
      </w:tr>
      <w:tr w:rsidR="00C7510B" w:rsidRPr="00E9242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RAMO</w:t>
            </w:r>
          </w:p>
        </w:tc>
        <w:tc>
          <w:tcPr>
            <w:tcW w:w="7371" w:type="dxa"/>
          </w:tcPr>
          <w:p w:rsidR="00C7510B" w:rsidRPr="00057CAF" w:rsidRDefault="00C7510B" w:rsidP="00C7510B">
            <w:pPr>
              <w:rPr>
                <w:rFonts w:eastAsiaTheme="minorHAnsi" w:cstheme="minorBidi"/>
                <w:sz w:val="22"/>
                <w:szCs w:val="22"/>
                <w:lang w:val="fr-FR"/>
              </w:rPr>
            </w:pPr>
            <w:r w:rsidRPr="00057CAF">
              <w:rPr>
                <w:rFonts w:eastAsiaTheme="minorHAnsi" w:cstheme="minorBidi"/>
                <w:sz w:val="22"/>
                <w:szCs w:val="22"/>
                <w:lang w:val="fr-FR"/>
              </w:rPr>
              <w:t>Rapport annuel de mise en œuvre</w:t>
            </w:r>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SAU</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Superficie</w:t>
            </w:r>
            <w:proofErr w:type="spellEnd"/>
            <w:r w:rsidRPr="00432D1B">
              <w:rPr>
                <w:rFonts w:eastAsiaTheme="minorHAnsi" w:cstheme="minorBidi"/>
                <w:sz w:val="22"/>
                <w:szCs w:val="22"/>
              </w:rPr>
              <w:t xml:space="preserve"> </w:t>
            </w:r>
            <w:proofErr w:type="spellStart"/>
            <w:r w:rsidRPr="00432D1B">
              <w:rPr>
                <w:rFonts w:eastAsiaTheme="minorHAnsi" w:cstheme="minorBidi"/>
                <w:sz w:val="22"/>
                <w:szCs w:val="22"/>
              </w:rPr>
              <w:t>agricole</w:t>
            </w:r>
            <w:proofErr w:type="spellEnd"/>
            <w:r w:rsidRPr="00432D1B">
              <w:rPr>
                <w:rFonts w:eastAsiaTheme="minorHAnsi" w:cstheme="minorBidi"/>
                <w:sz w:val="22"/>
                <w:szCs w:val="22"/>
              </w:rPr>
              <w:t xml:space="preserve"> </w:t>
            </w:r>
            <w:proofErr w:type="spellStart"/>
            <w:r w:rsidRPr="00432D1B">
              <w:rPr>
                <w:rFonts w:eastAsiaTheme="minorHAnsi" w:cstheme="minorBidi"/>
                <w:sz w:val="22"/>
                <w:szCs w:val="22"/>
              </w:rPr>
              <w:t>utilisée</w:t>
            </w:r>
            <w:proofErr w:type="spellEnd"/>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SIE</w:t>
            </w:r>
          </w:p>
        </w:tc>
        <w:tc>
          <w:tcPr>
            <w:tcW w:w="7371"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 xml:space="preserve">Surface </w:t>
            </w:r>
            <w:proofErr w:type="spellStart"/>
            <w:r w:rsidRPr="00432D1B">
              <w:rPr>
                <w:rFonts w:eastAsiaTheme="minorHAnsi" w:cstheme="minorBidi"/>
                <w:sz w:val="22"/>
                <w:szCs w:val="22"/>
              </w:rPr>
              <w:t>d’intérêt</w:t>
            </w:r>
            <w:proofErr w:type="spellEnd"/>
            <w:r w:rsidRPr="00432D1B">
              <w:rPr>
                <w:rFonts w:eastAsiaTheme="minorHAnsi" w:cstheme="minorBidi"/>
                <w:sz w:val="22"/>
                <w:szCs w:val="22"/>
              </w:rPr>
              <w:t xml:space="preserve"> </w:t>
            </w:r>
            <w:proofErr w:type="spellStart"/>
            <w:r w:rsidRPr="00432D1B">
              <w:rPr>
                <w:rFonts w:eastAsiaTheme="minorHAnsi" w:cstheme="minorBidi"/>
                <w:sz w:val="22"/>
                <w:szCs w:val="22"/>
              </w:rPr>
              <w:t>écologique</w:t>
            </w:r>
            <w:proofErr w:type="spellEnd"/>
          </w:p>
        </w:tc>
      </w:tr>
      <w:tr w:rsidR="00C7510B" w:rsidRPr="00432D1B" w:rsidTr="00135572">
        <w:tc>
          <w:tcPr>
            <w:tcW w:w="1696" w:type="dxa"/>
          </w:tcPr>
          <w:p w:rsidR="00C7510B" w:rsidRPr="00432D1B" w:rsidRDefault="00C7510B" w:rsidP="00C7510B">
            <w:pPr>
              <w:rPr>
                <w:rFonts w:eastAsiaTheme="minorHAnsi" w:cstheme="minorBidi"/>
                <w:sz w:val="22"/>
                <w:szCs w:val="22"/>
              </w:rPr>
            </w:pPr>
            <w:r w:rsidRPr="00432D1B">
              <w:rPr>
                <w:rFonts w:eastAsiaTheme="minorHAnsi" w:cstheme="minorBidi"/>
                <w:sz w:val="22"/>
                <w:szCs w:val="22"/>
              </w:rPr>
              <w:t>UGB</w:t>
            </w:r>
          </w:p>
        </w:tc>
        <w:tc>
          <w:tcPr>
            <w:tcW w:w="7371" w:type="dxa"/>
          </w:tcPr>
          <w:p w:rsidR="00C7510B" w:rsidRPr="00432D1B" w:rsidRDefault="00C7510B" w:rsidP="00C7510B">
            <w:pPr>
              <w:rPr>
                <w:rFonts w:eastAsiaTheme="minorHAnsi" w:cstheme="minorBidi"/>
                <w:sz w:val="22"/>
                <w:szCs w:val="22"/>
              </w:rPr>
            </w:pPr>
            <w:proofErr w:type="spellStart"/>
            <w:r w:rsidRPr="00432D1B">
              <w:rPr>
                <w:rFonts w:eastAsiaTheme="minorHAnsi" w:cstheme="minorBidi"/>
                <w:sz w:val="22"/>
                <w:szCs w:val="22"/>
              </w:rPr>
              <w:t>Unité</w:t>
            </w:r>
            <w:proofErr w:type="spellEnd"/>
            <w:r w:rsidRPr="00432D1B">
              <w:rPr>
                <w:rFonts w:eastAsiaTheme="minorHAnsi" w:cstheme="minorBidi"/>
                <w:sz w:val="22"/>
                <w:szCs w:val="22"/>
              </w:rPr>
              <w:t xml:space="preserve"> </w:t>
            </w:r>
            <w:proofErr w:type="spellStart"/>
            <w:r w:rsidRPr="00432D1B">
              <w:rPr>
                <w:rFonts w:eastAsiaTheme="minorHAnsi" w:cstheme="minorBidi"/>
                <w:sz w:val="22"/>
                <w:szCs w:val="22"/>
              </w:rPr>
              <w:t>gros</w:t>
            </w:r>
            <w:proofErr w:type="spellEnd"/>
            <w:r w:rsidRPr="00432D1B">
              <w:rPr>
                <w:rFonts w:eastAsiaTheme="minorHAnsi" w:cstheme="minorBidi"/>
                <w:sz w:val="22"/>
                <w:szCs w:val="22"/>
              </w:rPr>
              <w:t xml:space="preserve"> </w:t>
            </w:r>
            <w:proofErr w:type="spellStart"/>
            <w:r w:rsidRPr="00432D1B">
              <w:rPr>
                <w:rFonts w:eastAsiaTheme="minorHAnsi" w:cstheme="minorBidi"/>
                <w:sz w:val="22"/>
                <w:szCs w:val="22"/>
              </w:rPr>
              <w:t>bétail</w:t>
            </w:r>
            <w:proofErr w:type="spellEnd"/>
          </w:p>
        </w:tc>
      </w:tr>
    </w:tbl>
    <w:p w:rsidR="00C7510B" w:rsidRPr="00C7510B" w:rsidRDefault="00C7510B" w:rsidP="00C7510B">
      <w:pPr>
        <w:spacing w:after="160"/>
        <w:rPr>
          <w:rFonts w:eastAsiaTheme="minorHAnsi" w:cstheme="minorBidi"/>
          <w:szCs w:val="22"/>
        </w:rPr>
      </w:pPr>
    </w:p>
    <w:p w:rsidR="0063555C" w:rsidRDefault="0063555C"/>
    <w:p w:rsidR="00432D1B" w:rsidRDefault="00432D1B" w:rsidP="00BC5BDB">
      <w:pPr>
        <w:pStyle w:val="Titre1"/>
        <w:rPr>
          <w:rFonts w:eastAsiaTheme="minorHAnsi"/>
        </w:rPr>
        <w:sectPr w:rsidR="00432D1B" w:rsidSect="00432D1B">
          <w:headerReference w:type="default" r:id="rId18"/>
          <w:footerReference w:type="default" r:id="rId19"/>
          <w:type w:val="oddPage"/>
          <w:pgSz w:w="11906" w:h="16838"/>
          <w:pgMar w:top="1417" w:right="1417" w:bottom="1417" w:left="1417" w:header="708" w:footer="708" w:gutter="0"/>
          <w:cols w:space="708"/>
          <w:docGrid w:linePitch="360"/>
        </w:sectPr>
      </w:pPr>
      <w:bookmarkStart w:id="56" w:name="_Toc11278966"/>
    </w:p>
    <w:p w:rsidR="00BC5BDB" w:rsidRPr="00A04754" w:rsidRDefault="000B14F5" w:rsidP="00432D1B">
      <w:pPr>
        <w:pStyle w:val="Titre1"/>
        <w:rPr>
          <w:rFonts w:eastAsiaTheme="minorHAnsi"/>
        </w:rPr>
      </w:pPr>
      <w:bookmarkStart w:id="57" w:name="_Toc11278967"/>
      <w:bookmarkStart w:id="58" w:name="_Toc25688771"/>
      <w:bookmarkEnd w:id="56"/>
      <w:r>
        <w:rPr>
          <w:rFonts w:eastAsiaTheme="minorHAnsi"/>
        </w:rPr>
        <w:lastRenderedPageBreak/>
        <w:t xml:space="preserve">Annexe 1. Questions </w:t>
      </w:r>
      <w:r w:rsidR="00BC5BDB">
        <w:rPr>
          <w:rFonts w:eastAsiaTheme="minorHAnsi"/>
        </w:rPr>
        <w:t>méthodologique</w:t>
      </w:r>
      <w:r>
        <w:rPr>
          <w:rFonts w:eastAsiaTheme="minorHAnsi"/>
        </w:rPr>
        <w:t>s</w:t>
      </w:r>
      <w:bookmarkEnd w:id="57"/>
      <w:bookmarkEnd w:id="58"/>
    </w:p>
    <w:p w:rsidR="0074759F" w:rsidRDefault="0074759F" w:rsidP="0050022D">
      <w:pPr>
        <w:pStyle w:val="Titre3"/>
      </w:pPr>
      <w:bookmarkStart w:id="59" w:name="_Toc11278968"/>
      <w:bookmarkStart w:id="60" w:name="_Toc11333800"/>
      <w:bookmarkStart w:id="61" w:name="_Toc25688772"/>
      <w:bookmarkStart w:id="62" w:name="_Toc1055160"/>
      <w:r>
        <w:t>1. Options méthodologiques</w:t>
      </w:r>
      <w:bookmarkEnd w:id="59"/>
      <w:bookmarkEnd w:id="60"/>
      <w:bookmarkEnd w:id="61"/>
    </w:p>
    <w:p w:rsidR="0074759F" w:rsidRPr="00057CAF" w:rsidRDefault="0074759F" w:rsidP="0074759F">
      <w:pPr>
        <w:rPr>
          <w:lang w:val="fr-FR"/>
        </w:rPr>
      </w:pPr>
      <w:r w:rsidRPr="00057CAF">
        <w:rPr>
          <w:lang w:val="fr-FR"/>
        </w:rPr>
        <w:t>L’approche utilisée pour le traitement des questions environnementales repose sur les considérations suivantes :</w:t>
      </w:r>
    </w:p>
    <w:p w:rsidR="007274B9" w:rsidRPr="00057CAF" w:rsidRDefault="0074759F" w:rsidP="0050022D">
      <w:pPr>
        <w:pStyle w:val="bullets"/>
        <w:rPr>
          <w:lang w:val="fr-FR"/>
        </w:rPr>
      </w:pPr>
      <w:r w:rsidRPr="00057CAF">
        <w:rPr>
          <w:lang w:val="fr-FR"/>
        </w:rPr>
        <w:t>L’objet de l’évaluation est le PDR</w:t>
      </w:r>
      <w:r w:rsidR="00FF6BF3" w:rsidRPr="00057CAF">
        <w:rPr>
          <w:lang w:val="fr-FR"/>
        </w:rPr>
        <w:t xml:space="preserve"> 2014-2020</w:t>
      </w:r>
      <w:r w:rsidRPr="00057CAF">
        <w:rPr>
          <w:lang w:val="fr-FR"/>
        </w:rPr>
        <w:t xml:space="preserve">, de sorte que la situation de référence est une situation hypothétique (non observable) sans </w:t>
      </w:r>
      <w:r w:rsidR="00FF6BF3" w:rsidRPr="00057CAF">
        <w:rPr>
          <w:lang w:val="fr-FR"/>
        </w:rPr>
        <w:t xml:space="preserve">ce </w:t>
      </w:r>
      <w:r w:rsidRPr="00057CAF">
        <w:rPr>
          <w:lang w:val="fr-FR"/>
        </w:rPr>
        <w:t>PDR.</w:t>
      </w:r>
      <w:r w:rsidR="00691B97" w:rsidRPr="00057CAF">
        <w:rPr>
          <w:lang w:val="fr-FR"/>
        </w:rPr>
        <w:t xml:space="preserve"> </w:t>
      </w:r>
      <w:r w:rsidR="007274B9" w:rsidRPr="00057CAF">
        <w:rPr>
          <w:lang w:val="fr-FR"/>
        </w:rPr>
        <w:t>Nous faisons l’hypothèse (irréaliste mais imposée par l’exercice) que (1) rien n’aurait été différent dans la période antérieure (2007-2013) : les mêmes mesures auraient été mises en œuvre de la même façon, indépendamment des suppositions ayant pu être faites sur le nouveau PDR ; (2) les contrats pris dans la période antérieure et courant encore dans la période actuelle (2014-2020) auraient été honorés sur la base d’autres ressources budgétaires à partir de 2014 ; (3) la situation nouvelle sans PDR aurait été prévue et préparée, de sorte que l’absence de reconduction aurait été acceptée et n’aurait pas suscité de vive opposition ni de réactions hostiles à la pérennisation des acquis du PDR précédent (notamment sur le plan  environnemental) ; (4) les autres instruments de politique agricole ou environnementale n’auraient pas été modifiés pour combler le vide laissé par l’absence de PDR (hormis poursuite des contrats en cours).</w:t>
      </w:r>
    </w:p>
    <w:p w:rsidR="0074759F" w:rsidRPr="00057CAF" w:rsidRDefault="00C67096" w:rsidP="0050022D">
      <w:pPr>
        <w:pStyle w:val="bullets"/>
        <w:rPr>
          <w:lang w:val="fr-FR"/>
        </w:rPr>
      </w:pPr>
      <w:r w:rsidRPr="00057CAF">
        <w:rPr>
          <w:lang w:val="fr-FR"/>
        </w:rPr>
        <w:t xml:space="preserve">Les questions </w:t>
      </w:r>
      <w:r w:rsidR="00864FDE" w:rsidRPr="00057CAF">
        <w:rPr>
          <w:lang w:val="fr-FR"/>
        </w:rPr>
        <w:t xml:space="preserve">d’évaluation </w:t>
      </w:r>
      <w:r w:rsidRPr="00057CAF">
        <w:rPr>
          <w:lang w:val="fr-FR"/>
        </w:rPr>
        <w:t>posées se rapporte</w:t>
      </w:r>
      <w:r w:rsidR="0074759F" w:rsidRPr="00057CAF">
        <w:rPr>
          <w:lang w:val="fr-FR"/>
        </w:rPr>
        <w:t>nt essentiellement</w:t>
      </w:r>
      <w:r w:rsidRPr="00057CAF">
        <w:rPr>
          <w:lang w:val="fr-FR"/>
        </w:rPr>
        <w:t xml:space="preserve"> (mais de manière implicite)</w:t>
      </w:r>
      <w:r w:rsidR="0074759F" w:rsidRPr="00057CAF">
        <w:rPr>
          <w:lang w:val="fr-FR"/>
        </w:rPr>
        <w:t xml:space="preserve"> à deux des critères d’évaluation classiques (efficacité et impact), les autres critères </w:t>
      </w:r>
      <w:r w:rsidRPr="00057CAF">
        <w:rPr>
          <w:lang w:val="fr-FR"/>
        </w:rPr>
        <w:t xml:space="preserve">habituels </w:t>
      </w:r>
      <w:r w:rsidR="0074759F" w:rsidRPr="00057CAF">
        <w:rPr>
          <w:lang w:val="fr-FR"/>
        </w:rPr>
        <w:t>(pertinence, efficience, durabilité des résultats) ne sont pas pleinement traités mais sont tenus à l’esprit dans la mesure où ils peuvent néanmoins éclairer la réponse à certaines questions.</w:t>
      </w:r>
    </w:p>
    <w:p w:rsidR="0074759F" w:rsidRPr="00057CAF" w:rsidRDefault="0074759F" w:rsidP="0050022D">
      <w:pPr>
        <w:pStyle w:val="bullets"/>
        <w:rPr>
          <w:lang w:val="fr-FR"/>
        </w:rPr>
      </w:pPr>
      <w:r w:rsidRPr="00057CAF">
        <w:rPr>
          <w:lang w:val="fr-FR"/>
        </w:rPr>
        <w:t>Les questions d’évaluation guident la démarche évaluative, de telle manière qu</w:t>
      </w:r>
      <w:r w:rsidR="00FF6BF3" w:rsidRPr="00057CAF">
        <w:rPr>
          <w:lang w:val="fr-FR"/>
        </w:rPr>
        <w:t xml:space="preserve">e ce sont elles qui déterminent le choix des </w:t>
      </w:r>
      <w:r w:rsidR="003C525B" w:rsidRPr="00057CAF">
        <w:rPr>
          <w:lang w:val="fr-FR"/>
        </w:rPr>
        <w:t>c</w:t>
      </w:r>
      <w:r w:rsidRPr="00057CAF">
        <w:rPr>
          <w:lang w:val="fr-FR"/>
        </w:rPr>
        <w:t>ritères de jugement</w:t>
      </w:r>
      <w:r w:rsidR="004F16C4" w:rsidRPr="00057CAF">
        <w:rPr>
          <w:lang w:val="fr-FR"/>
        </w:rPr>
        <w:t xml:space="preserve">, </w:t>
      </w:r>
      <w:r w:rsidRPr="00057CAF">
        <w:rPr>
          <w:lang w:val="fr-FR"/>
        </w:rPr>
        <w:t xml:space="preserve">des indicateurs </w:t>
      </w:r>
      <w:r w:rsidR="004F16C4" w:rsidRPr="00057CAF">
        <w:rPr>
          <w:lang w:val="fr-FR"/>
        </w:rPr>
        <w:t xml:space="preserve">et des approches </w:t>
      </w:r>
      <w:r w:rsidR="00864FDE" w:rsidRPr="00057CAF">
        <w:rPr>
          <w:lang w:val="fr-FR"/>
        </w:rPr>
        <w:t xml:space="preserve">suivies </w:t>
      </w:r>
      <w:r w:rsidR="004F16C4" w:rsidRPr="00057CAF">
        <w:rPr>
          <w:lang w:val="fr-FR"/>
        </w:rPr>
        <w:t xml:space="preserve">pour élaborer </w:t>
      </w:r>
      <w:r w:rsidRPr="00057CAF">
        <w:rPr>
          <w:lang w:val="fr-FR"/>
        </w:rPr>
        <w:t>la réponse</w:t>
      </w:r>
      <w:r w:rsidR="00864FDE" w:rsidRPr="00057CAF">
        <w:rPr>
          <w:lang w:val="fr-FR"/>
        </w:rPr>
        <w:t xml:space="preserve"> ; dans certains cas toutefois </w:t>
      </w:r>
      <w:r w:rsidR="003C525B" w:rsidRPr="00057CAF">
        <w:rPr>
          <w:lang w:val="fr-FR"/>
        </w:rPr>
        <w:t xml:space="preserve">les questions </w:t>
      </w:r>
      <w:r w:rsidR="00864FDE" w:rsidRPr="00057CAF">
        <w:rPr>
          <w:lang w:val="fr-FR"/>
        </w:rPr>
        <w:t xml:space="preserve">sont sujettes à interprétation et les critères de jugement proposés par le CCSE sont </w:t>
      </w:r>
      <w:r w:rsidR="003C525B" w:rsidRPr="00057CAF">
        <w:rPr>
          <w:lang w:val="fr-FR"/>
        </w:rPr>
        <w:t xml:space="preserve">alors </w:t>
      </w:r>
      <w:r w:rsidR="00864FDE" w:rsidRPr="00057CAF">
        <w:rPr>
          <w:lang w:val="fr-FR"/>
        </w:rPr>
        <w:t>utilisés pour leur compréhension</w:t>
      </w:r>
      <w:r w:rsidR="004F16C4" w:rsidRPr="00057CAF">
        <w:rPr>
          <w:lang w:val="fr-FR"/>
        </w:rPr>
        <w:t>.</w:t>
      </w:r>
    </w:p>
    <w:p w:rsidR="0074759F" w:rsidRPr="00057CAF" w:rsidRDefault="004F16C4" w:rsidP="0050022D">
      <w:pPr>
        <w:pStyle w:val="bullets"/>
        <w:rPr>
          <w:lang w:val="fr-FR"/>
        </w:rPr>
      </w:pPr>
      <w:r w:rsidRPr="00057CAF">
        <w:rPr>
          <w:lang w:val="fr-FR"/>
        </w:rPr>
        <w:t>Les critères de jugement proposés par le CCSE sont</w:t>
      </w:r>
      <w:r w:rsidR="00864FDE" w:rsidRPr="00057CAF">
        <w:rPr>
          <w:lang w:val="fr-FR"/>
        </w:rPr>
        <w:t xml:space="preserve"> systématiquement</w:t>
      </w:r>
      <w:r w:rsidRPr="00057CAF">
        <w:rPr>
          <w:lang w:val="fr-FR"/>
        </w:rPr>
        <w:t xml:space="preserve"> respectés, y compris lorsqu’ils apparaissent </w:t>
      </w:r>
      <w:r w:rsidR="00CA3145" w:rsidRPr="00057CAF">
        <w:rPr>
          <w:lang w:val="fr-FR"/>
        </w:rPr>
        <w:t xml:space="preserve">insuffisants pour répondre à la question (situation fréquente) ou lorsque d’autres critères auraient été préférés (situation </w:t>
      </w:r>
      <w:r w:rsidR="003C525B" w:rsidRPr="00057CAF">
        <w:rPr>
          <w:lang w:val="fr-FR"/>
        </w:rPr>
        <w:t xml:space="preserve">plus </w:t>
      </w:r>
      <w:r w:rsidR="00CA3145" w:rsidRPr="00057CAF">
        <w:rPr>
          <w:lang w:val="fr-FR"/>
        </w:rPr>
        <w:t xml:space="preserve">rare) ; dans ces </w:t>
      </w:r>
      <w:r w:rsidR="003C525B" w:rsidRPr="00057CAF">
        <w:rPr>
          <w:lang w:val="fr-FR"/>
        </w:rPr>
        <w:t xml:space="preserve">deux </w:t>
      </w:r>
      <w:r w:rsidR="00CA3145" w:rsidRPr="00057CAF">
        <w:rPr>
          <w:lang w:val="fr-FR"/>
        </w:rPr>
        <w:t>cas ils</w:t>
      </w:r>
      <w:r w:rsidR="00864FDE" w:rsidRPr="00057CAF">
        <w:rPr>
          <w:lang w:val="fr-FR"/>
        </w:rPr>
        <w:t xml:space="preserve"> sont</w:t>
      </w:r>
      <w:r w:rsidR="00CA3145" w:rsidRPr="00057CAF">
        <w:rPr>
          <w:lang w:val="fr-FR"/>
        </w:rPr>
        <w:t xml:space="preserve"> complétés</w:t>
      </w:r>
      <w:r w:rsidR="00864FDE" w:rsidRPr="00057CAF">
        <w:rPr>
          <w:lang w:val="fr-FR"/>
        </w:rPr>
        <w:t xml:space="preserve"> par d’autres critères de jugements</w:t>
      </w:r>
      <w:r w:rsidR="00CA3145" w:rsidRPr="00057CAF">
        <w:rPr>
          <w:lang w:val="fr-FR"/>
        </w:rPr>
        <w:t>.</w:t>
      </w:r>
    </w:p>
    <w:p w:rsidR="00CA3145" w:rsidRPr="00057CAF" w:rsidRDefault="00CA3145" w:rsidP="0050022D">
      <w:pPr>
        <w:pStyle w:val="bullets"/>
        <w:rPr>
          <w:lang w:val="fr-FR"/>
        </w:rPr>
      </w:pPr>
      <w:r w:rsidRPr="00057CAF">
        <w:rPr>
          <w:lang w:val="fr-FR"/>
        </w:rPr>
        <w:t xml:space="preserve">Les indicateurs sont pris en compte comme moyens (ou intrants) de l’évaluation et non comme fins (ou produits) de celle-ci ; </w:t>
      </w:r>
      <w:r w:rsidR="003C525B" w:rsidRPr="00057CAF">
        <w:rPr>
          <w:lang w:val="fr-FR"/>
        </w:rPr>
        <w:t xml:space="preserve">leur utilisation dans la réponse aux questions est tributaire de ce qu’ils apportent pour étayer celle-ci </w:t>
      </w:r>
      <w:r w:rsidRPr="00057CAF">
        <w:rPr>
          <w:lang w:val="fr-FR"/>
        </w:rPr>
        <w:t>(y compris dans le cas des « indicateurs de résultat complémentaire »).</w:t>
      </w:r>
    </w:p>
    <w:p w:rsidR="00D242B6" w:rsidRPr="00057CAF" w:rsidRDefault="003C525B" w:rsidP="0050022D">
      <w:pPr>
        <w:pStyle w:val="bullets"/>
        <w:rPr>
          <w:lang w:val="fr-FR"/>
        </w:rPr>
      </w:pPr>
      <w:r w:rsidRPr="00057CAF">
        <w:rPr>
          <w:lang w:val="fr-FR"/>
        </w:rPr>
        <w:t xml:space="preserve">Les amalgames </w:t>
      </w:r>
      <w:r w:rsidR="008619A0" w:rsidRPr="00057CAF">
        <w:rPr>
          <w:lang w:val="fr-FR"/>
        </w:rPr>
        <w:t xml:space="preserve">sont systématiquement évités, y compris ceux </w:t>
      </w:r>
      <w:r w:rsidRPr="00057CAF">
        <w:rPr>
          <w:lang w:val="fr-FR"/>
        </w:rPr>
        <w:t>qui se présentent dans la formulation du PDR ou des</w:t>
      </w:r>
      <w:r w:rsidR="008619A0" w:rsidRPr="00057CAF">
        <w:rPr>
          <w:lang w:val="fr-FR"/>
        </w:rPr>
        <w:t xml:space="preserve"> questions </w:t>
      </w:r>
      <w:r w:rsidRPr="00057CAF">
        <w:rPr>
          <w:lang w:val="fr-FR"/>
        </w:rPr>
        <w:t xml:space="preserve">(par exemple </w:t>
      </w:r>
      <w:r w:rsidR="008619A0" w:rsidRPr="00057CAF">
        <w:rPr>
          <w:lang w:val="fr-FR"/>
        </w:rPr>
        <w:t xml:space="preserve">entre </w:t>
      </w:r>
      <w:r w:rsidRPr="00057CAF">
        <w:rPr>
          <w:lang w:val="fr-FR"/>
        </w:rPr>
        <w:t xml:space="preserve">l’ammoniac et </w:t>
      </w:r>
      <w:r w:rsidR="008619A0" w:rsidRPr="00057CAF">
        <w:rPr>
          <w:lang w:val="fr-FR"/>
        </w:rPr>
        <w:t>l</w:t>
      </w:r>
      <w:r w:rsidRPr="00057CAF">
        <w:rPr>
          <w:lang w:val="fr-FR"/>
        </w:rPr>
        <w:t>es gaz à effet de serre,</w:t>
      </w:r>
      <w:r w:rsidR="008619A0" w:rsidRPr="00057CAF">
        <w:rPr>
          <w:lang w:val="fr-FR"/>
        </w:rPr>
        <w:t xml:space="preserve"> ou entre </w:t>
      </w:r>
      <w:r w:rsidRPr="00057CAF">
        <w:rPr>
          <w:lang w:val="fr-FR"/>
        </w:rPr>
        <w:t>l’atténuation et de l’adaptation en matière de changement climatique</w:t>
      </w:r>
      <w:r w:rsidR="008619A0" w:rsidRPr="00057CAF">
        <w:rPr>
          <w:lang w:val="fr-FR"/>
        </w:rPr>
        <w:t>)</w:t>
      </w:r>
      <w:r w:rsidR="00D242B6" w:rsidRPr="00057CAF">
        <w:rPr>
          <w:lang w:val="fr-FR"/>
        </w:rPr>
        <w:t>.</w:t>
      </w:r>
    </w:p>
    <w:p w:rsidR="00D242B6" w:rsidRPr="00057CAF" w:rsidRDefault="00D242B6" w:rsidP="0050022D">
      <w:pPr>
        <w:pStyle w:val="bullets"/>
        <w:rPr>
          <w:lang w:val="fr-FR"/>
        </w:rPr>
      </w:pPr>
      <w:r w:rsidRPr="00057CAF">
        <w:rPr>
          <w:lang w:val="fr-FR"/>
        </w:rPr>
        <w:t>Les analyses qualitatives ont la préséance sur les analyses quantitatives, les dernières ne pouvant se greffer que sur les premières.</w:t>
      </w:r>
    </w:p>
    <w:p w:rsidR="00864FDE" w:rsidRPr="00057CAF" w:rsidRDefault="00CA3145" w:rsidP="0050022D">
      <w:pPr>
        <w:pStyle w:val="bullets"/>
        <w:rPr>
          <w:lang w:val="fr-FR"/>
        </w:rPr>
      </w:pPr>
      <w:r w:rsidRPr="00057CAF">
        <w:rPr>
          <w:lang w:val="fr-FR"/>
        </w:rPr>
        <w:t>Les logiques d’intervention tirées du PDR, sur la base de la contribution des mesures aux divers « domaines prioritaires », ne sont pas confondues avec les chaînes de causalité réelles que l’évaluation cherche à mettre en évidence pour identifier les effets ou impacts du PDR.</w:t>
      </w:r>
      <w:r w:rsidR="008619A0" w:rsidRPr="00057CAF">
        <w:rPr>
          <w:lang w:val="fr-FR"/>
        </w:rPr>
        <w:t xml:space="preserve"> </w:t>
      </w:r>
      <w:r w:rsidR="00864FDE" w:rsidRPr="00057CAF">
        <w:rPr>
          <w:lang w:val="fr-FR"/>
        </w:rPr>
        <w:t>En corollaire du point précédent, les chaînes de causalité ne sont pas structurées selon le schéma classique des logiques d’intervention (outputs – outcome – impact), leur nombre de maillons pouvant être plus élevé (et le terme d’impact étant utilisé au sens environnemental, d’effet ou d’incidence)</w:t>
      </w:r>
      <w:r w:rsidR="003C525B" w:rsidRPr="00057CAF">
        <w:rPr>
          <w:lang w:val="fr-FR"/>
        </w:rPr>
        <w:t>.</w:t>
      </w:r>
      <w:r w:rsidR="008619A0" w:rsidRPr="00057CAF">
        <w:rPr>
          <w:lang w:val="fr-FR"/>
        </w:rPr>
        <w:t xml:space="preserve"> </w:t>
      </w:r>
      <w:r w:rsidR="00864FDE" w:rsidRPr="00057CAF">
        <w:rPr>
          <w:lang w:val="fr-FR"/>
        </w:rPr>
        <w:t xml:space="preserve">Un autre corollaire est que les effets non-intentionnels, aussi bien positifs que </w:t>
      </w:r>
      <w:r w:rsidR="00864FDE" w:rsidRPr="00057CAF">
        <w:rPr>
          <w:lang w:val="fr-FR"/>
        </w:rPr>
        <w:lastRenderedPageBreak/>
        <w:t>négatifs, sont examinés au même titre que les effets en ligne avec les objectifs poursuivis ou les contributions aux DP déterminées a priori</w:t>
      </w:r>
      <w:r w:rsidR="003C525B" w:rsidRPr="00057CAF">
        <w:rPr>
          <w:lang w:val="fr-FR"/>
        </w:rPr>
        <w:t>.</w:t>
      </w:r>
    </w:p>
    <w:p w:rsidR="00864FDE" w:rsidRPr="00057CAF" w:rsidRDefault="00864FDE" w:rsidP="0050022D">
      <w:pPr>
        <w:pStyle w:val="bullets"/>
        <w:rPr>
          <w:lang w:val="fr-FR"/>
        </w:rPr>
      </w:pPr>
      <w:r w:rsidRPr="00057CAF">
        <w:rPr>
          <w:lang w:val="fr-FR"/>
        </w:rPr>
        <w:t>L’</w:t>
      </w:r>
      <w:r w:rsidR="00691B97" w:rsidRPr="00057CAF">
        <w:rPr>
          <w:lang w:val="fr-FR"/>
        </w:rPr>
        <w:t xml:space="preserve">analyse </w:t>
      </w:r>
      <w:r w:rsidRPr="00057CAF">
        <w:rPr>
          <w:lang w:val="fr-FR"/>
        </w:rPr>
        <w:t>des effe</w:t>
      </w:r>
      <w:r w:rsidR="0007367C" w:rsidRPr="00057CAF">
        <w:rPr>
          <w:lang w:val="fr-FR"/>
        </w:rPr>
        <w:t xml:space="preserve">ts est systémique et </w:t>
      </w:r>
      <w:r w:rsidR="00691B97" w:rsidRPr="00057CAF">
        <w:rPr>
          <w:lang w:val="fr-FR"/>
        </w:rPr>
        <w:t xml:space="preserve">transversale </w:t>
      </w:r>
      <w:r w:rsidR="0007367C" w:rsidRPr="00057CAF">
        <w:rPr>
          <w:lang w:val="fr-FR"/>
        </w:rPr>
        <w:t>d’une question à l’autre, bien qu</w:t>
      </w:r>
      <w:r w:rsidR="00691B97" w:rsidRPr="00057CAF">
        <w:rPr>
          <w:lang w:val="fr-FR"/>
        </w:rPr>
        <w:t xml:space="preserve">e les résultats </w:t>
      </w:r>
      <w:r w:rsidR="0007367C" w:rsidRPr="00057CAF">
        <w:rPr>
          <w:lang w:val="fr-FR"/>
        </w:rPr>
        <w:t>doive</w:t>
      </w:r>
      <w:r w:rsidR="00691B97" w:rsidRPr="00057CAF">
        <w:rPr>
          <w:lang w:val="fr-FR"/>
        </w:rPr>
        <w:t>nt</w:t>
      </w:r>
      <w:r w:rsidR="0007367C" w:rsidRPr="00057CAF">
        <w:rPr>
          <w:lang w:val="fr-FR"/>
        </w:rPr>
        <w:t xml:space="preserve"> être communiqué</w:t>
      </w:r>
      <w:r w:rsidR="00691B97" w:rsidRPr="00057CAF">
        <w:rPr>
          <w:lang w:val="fr-FR"/>
        </w:rPr>
        <w:t>s</w:t>
      </w:r>
      <w:r w:rsidR="0007367C" w:rsidRPr="00057CAF">
        <w:rPr>
          <w:lang w:val="fr-FR"/>
        </w:rPr>
        <w:t xml:space="preserve"> question par question.</w:t>
      </w:r>
      <w:r w:rsidR="00691B97" w:rsidRPr="00057CAF">
        <w:rPr>
          <w:lang w:val="fr-FR"/>
        </w:rPr>
        <w:t xml:space="preserve"> Une approche intégrée a donc été adoptée, avec des liens croisés entre questions et des références à des analyses communes à plusieurs questions (partiellement présentées en annexes).</w:t>
      </w:r>
      <w:r w:rsidR="008619A0" w:rsidRPr="00057CAF">
        <w:rPr>
          <w:lang w:val="fr-FR"/>
        </w:rPr>
        <w:t xml:space="preserve"> La démarche suivante a été suivie pour la mise en évidence des liens de causalité entre le PDR et les impacts environnementaux étudiés :</w:t>
      </w:r>
    </w:p>
    <w:p w:rsidR="008619A0" w:rsidRPr="00057CAF" w:rsidRDefault="008619A0" w:rsidP="006B7DE1">
      <w:pPr>
        <w:pStyle w:val="Paragraphedeliste"/>
        <w:numPr>
          <w:ilvl w:val="1"/>
          <w:numId w:val="4"/>
        </w:numPr>
        <w:rPr>
          <w:rFonts w:ascii="Garamond" w:hAnsi="Garamond"/>
          <w:lang w:val="fr-FR"/>
        </w:rPr>
      </w:pPr>
      <w:r w:rsidRPr="00057CAF">
        <w:rPr>
          <w:rFonts w:ascii="Garamond" w:hAnsi="Garamond"/>
          <w:lang w:val="fr-FR"/>
        </w:rPr>
        <w:t>Explicitation des mécanismes justifiant les contributions primaires ou secondaires aux DP que le PDR assigne à ses diverses mesures : ce travail s’est effectué sur des schémas logiques mettant en évidence divers facteurs intermédiaires entre les mesures et leur effet attendu au niveau des DP, ces schémas étant discutés en groupe de travail réunissant les partenaires du PDR</w:t>
      </w:r>
      <w:r w:rsidR="00C02DD6" w:rsidRPr="00057CAF">
        <w:rPr>
          <w:rFonts w:ascii="Garamond" w:hAnsi="Garamond"/>
          <w:lang w:val="fr-FR"/>
        </w:rPr>
        <w:t> ;</w:t>
      </w:r>
    </w:p>
    <w:p w:rsidR="008619A0" w:rsidRPr="00057CAF" w:rsidRDefault="00C02DD6" w:rsidP="006B7DE1">
      <w:pPr>
        <w:pStyle w:val="Paragraphedeliste"/>
        <w:numPr>
          <w:ilvl w:val="1"/>
          <w:numId w:val="4"/>
        </w:numPr>
        <w:rPr>
          <w:rFonts w:ascii="Garamond" w:hAnsi="Garamond"/>
          <w:lang w:val="fr-FR"/>
        </w:rPr>
      </w:pPr>
      <w:r w:rsidRPr="00057CAF">
        <w:rPr>
          <w:rFonts w:ascii="Garamond" w:hAnsi="Garamond"/>
          <w:lang w:val="fr-FR"/>
        </w:rPr>
        <w:t>Analyse critique et systémique de l’ensemble des liens de causalité, indépendamment de leur intentionnalité ou des contributions assignées par le PDR ;</w:t>
      </w:r>
    </w:p>
    <w:p w:rsidR="00C02DD6" w:rsidRPr="00057CAF" w:rsidRDefault="00C02DD6" w:rsidP="006B7DE1">
      <w:pPr>
        <w:pStyle w:val="Paragraphedeliste"/>
        <w:numPr>
          <w:ilvl w:val="1"/>
          <w:numId w:val="4"/>
        </w:numPr>
        <w:rPr>
          <w:rFonts w:ascii="Garamond" w:hAnsi="Garamond"/>
          <w:lang w:val="fr-FR"/>
        </w:rPr>
      </w:pPr>
      <w:r w:rsidRPr="00057CAF">
        <w:rPr>
          <w:rFonts w:ascii="Garamond" w:hAnsi="Garamond"/>
          <w:lang w:val="fr-FR"/>
        </w:rPr>
        <w:t>Ventilation de la discussion au sein des grilles d’analyse structurées par question et critère de jugement et, pour certaines thématiques transversales à plusieurs questions, dans des annexes ; cela tout en explicitant les références croisées et en évitant que celles-ci ne donnent lieu à des raisonnements circulaires (en boucle) ;</w:t>
      </w:r>
    </w:p>
    <w:p w:rsidR="00C02DD6" w:rsidRPr="00057CAF" w:rsidRDefault="00C02DD6" w:rsidP="006B7DE1">
      <w:pPr>
        <w:pStyle w:val="Paragraphedeliste"/>
        <w:numPr>
          <w:ilvl w:val="1"/>
          <w:numId w:val="4"/>
        </w:numPr>
        <w:rPr>
          <w:rFonts w:ascii="Garamond" w:hAnsi="Garamond"/>
          <w:lang w:val="fr-FR"/>
        </w:rPr>
      </w:pPr>
      <w:r w:rsidRPr="00057CAF">
        <w:rPr>
          <w:rFonts w:ascii="Garamond" w:hAnsi="Garamond"/>
          <w:lang w:val="fr-FR"/>
        </w:rPr>
        <w:t>Au sein des rubriques ainsi réparties, discussion au cas par cas de la vraisemblance d’un effet réel du PDR, sur la base des conclusions obtenues en amont et de l’ensemble des éléments d’appréciation disponibles (</w:t>
      </w:r>
      <w:r w:rsidR="00233C62" w:rsidRPr="00057CAF">
        <w:rPr>
          <w:rFonts w:ascii="Garamond" w:hAnsi="Garamond"/>
          <w:lang w:val="fr-FR"/>
        </w:rPr>
        <w:t>état des indicateurs, observations, témoignages, liens logiques).</w:t>
      </w:r>
    </w:p>
    <w:p w:rsidR="00D242B6" w:rsidRPr="00057CAF" w:rsidRDefault="00D242B6" w:rsidP="0050022D">
      <w:pPr>
        <w:pStyle w:val="bullets"/>
        <w:rPr>
          <w:lang w:val="fr-FR"/>
        </w:rPr>
      </w:pPr>
      <w:r w:rsidRPr="00057CAF">
        <w:rPr>
          <w:lang w:val="fr-FR"/>
        </w:rPr>
        <w:t xml:space="preserve">Lorsque les liens logiques sont réciproques (par exemple dans les quantifications du cycle de l’azote), le cheminement est conçu de manière minimiser l’influence des incertitudes (priorisation des données les plus fiables ou des faits les mieux démontrés, évitement des cumuls d’incertitudes le long d’une même chaîne logique). </w:t>
      </w:r>
    </w:p>
    <w:p w:rsidR="0007367C" w:rsidRPr="00057CAF" w:rsidRDefault="0007367C" w:rsidP="0050022D">
      <w:pPr>
        <w:pStyle w:val="bullets"/>
        <w:rPr>
          <w:lang w:val="fr-FR"/>
        </w:rPr>
      </w:pPr>
      <w:r w:rsidRPr="00057CAF">
        <w:rPr>
          <w:lang w:val="fr-FR"/>
        </w:rPr>
        <w:t>L’analyse systémique des relations de causes à effets est complétée par des approches en termes de flux ou d’analyses des cycles de la matière</w:t>
      </w:r>
      <w:r w:rsidR="008D5C9E" w:rsidRPr="00057CAF">
        <w:rPr>
          <w:lang w:val="fr-FR"/>
        </w:rPr>
        <w:t xml:space="preserve"> ; l’approche par flux porte en particulier sur </w:t>
      </w:r>
      <w:r w:rsidRPr="00057CAF">
        <w:rPr>
          <w:lang w:val="fr-FR"/>
        </w:rPr>
        <w:t>le cycle de l’azote (qui affecte les questions relatives à l’eau, à l’ammoniac et aux gaz à effet de serre)</w:t>
      </w:r>
      <w:r w:rsidR="008D5C9E" w:rsidRPr="00057CAF">
        <w:rPr>
          <w:lang w:val="fr-FR"/>
        </w:rPr>
        <w:t>.</w:t>
      </w:r>
      <w:r w:rsidR="00233C62" w:rsidRPr="00057CAF">
        <w:rPr>
          <w:lang w:val="fr-FR"/>
        </w:rPr>
        <w:t xml:space="preserve"> Pour l’analyse du cycle de l’azote, la démarche a été la suivante :</w:t>
      </w:r>
    </w:p>
    <w:p w:rsidR="00233C62" w:rsidRPr="00057CAF" w:rsidRDefault="00233C62" w:rsidP="006B7DE1">
      <w:pPr>
        <w:pStyle w:val="Paragraphedeliste"/>
        <w:numPr>
          <w:ilvl w:val="1"/>
          <w:numId w:val="5"/>
        </w:numPr>
        <w:rPr>
          <w:rFonts w:ascii="Garamond" w:hAnsi="Garamond"/>
          <w:lang w:val="fr-FR"/>
        </w:rPr>
      </w:pPr>
      <w:r w:rsidRPr="00057CAF">
        <w:rPr>
          <w:rFonts w:ascii="Garamond" w:hAnsi="Garamond"/>
          <w:lang w:val="fr-FR"/>
        </w:rPr>
        <w:t>Schématisation des compartiments du système agriculture-élevage, ainsi que des flux d’azote entrant dans le système, circulant d’un compartiment à l’autre, et sortant du système (via la production ou directement dans l’environnement) ;</w:t>
      </w:r>
    </w:p>
    <w:p w:rsidR="00233C62" w:rsidRPr="00057CAF" w:rsidRDefault="00233C62" w:rsidP="006B7DE1">
      <w:pPr>
        <w:pStyle w:val="Paragraphedeliste"/>
        <w:numPr>
          <w:ilvl w:val="1"/>
          <w:numId w:val="5"/>
        </w:numPr>
        <w:rPr>
          <w:rFonts w:ascii="Garamond" w:hAnsi="Garamond"/>
          <w:lang w:val="fr-FR"/>
        </w:rPr>
      </w:pPr>
      <w:r w:rsidRPr="00057CAF">
        <w:rPr>
          <w:rFonts w:ascii="Garamond" w:hAnsi="Garamond"/>
          <w:lang w:val="fr-FR"/>
        </w:rPr>
        <w:t xml:space="preserve">Compilation des données disponibles relatives aux flux (en particulier celles déduites du modèle </w:t>
      </w:r>
      <w:proofErr w:type="spellStart"/>
      <w:r w:rsidRPr="00057CAF">
        <w:rPr>
          <w:rFonts w:ascii="Garamond" w:hAnsi="Garamond"/>
          <w:lang w:val="fr-FR"/>
        </w:rPr>
        <w:t>EpicGrid</w:t>
      </w:r>
      <w:proofErr w:type="spellEnd"/>
      <w:r w:rsidRPr="00057CAF">
        <w:rPr>
          <w:rFonts w:ascii="Garamond" w:hAnsi="Garamond"/>
          <w:lang w:val="fr-FR"/>
        </w:rPr>
        <w:t xml:space="preserve"> conçu et géré par </w:t>
      </w:r>
      <w:proofErr w:type="spellStart"/>
      <w:r w:rsidRPr="00057CAF">
        <w:rPr>
          <w:rFonts w:ascii="Garamond" w:hAnsi="Garamond"/>
          <w:lang w:val="fr-FR"/>
        </w:rPr>
        <w:t>GxABT</w:t>
      </w:r>
      <w:proofErr w:type="spellEnd"/>
      <w:r w:rsidRPr="00057CAF">
        <w:rPr>
          <w:rFonts w:ascii="Garamond" w:hAnsi="Garamond"/>
          <w:lang w:val="fr-FR"/>
        </w:rPr>
        <w:t>, rapportées dans les Etats de l’Environnement Wallon), aux variations de stock ou aux ratios entre flux ;</w:t>
      </w:r>
    </w:p>
    <w:p w:rsidR="00233C62" w:rsidRPr="00057CAF" w:rsidRDefault="00233C62" w:rsidP="006B7DE1">
      <w:pPr>
        <w:pStyle w:val="Paragraphedeliste"/>
        <w:numPr>
          <w:ilvl w:val="1"/>
          <w:numId w:val="5"/>
        </w:numPr>
        <w:rPr>
          <w:rFonts w:ascii="Garamond" w:hAnsi="Garamond"/>
          <w:lang w:val="fr-FR"/>
        </w:rPr>
      </w:pPr>
      <w:r w:rsidRPr="00057CAF">
        <w:rPr>
          <w:rFonts w:ascii="Garamond" w:hAnsi="Garamond"/>
          <w:lang w:val="fr-FR"/>
        </w:rPr>
        <w:t>Sur la base des équations équilibrant les flux d’entrée et de sortie (aux variations de stock près) au niveau de chaque compartiment et du système général, estimation des grandeurs inconnues (avec, quand c’est possible, recoupement de méthodes) ;</w:t>
      </w:r>
    </w:p>
    <w:p w:rsidR="00233C62" w:rsidRPr="00057CAF" w:rsidRDefault="00233C62" w:rsidP="006B7DE1">
      <w:pPr>
        <w:pStyle w:val="Paragraphedeliste"/>
        <w:numPr>
          <w:ilvl w:val="1"/>
          <w:numId w:val="5"/>
        </w:numPr>
        <w:rPr>
          <w:rFonts w:ascii="Garamond" w:hAnsi="Garamond"/>
          <w:lang w:val="fr-FR"/>
        </w:rPr>
      </w:pPr>
      <w:r w:rsidRPr="00057CAF">
        <w:rPr>
          <w:rFonts w:ascii="Garamond" w:hAnsi="Garamond"/>
          <w:lang w:val="fr-FR"/>
        </w:rPr>
        <w:t xml:space="preserve">Identification des effets </w:t>
      </w:r>
      <w:r w:rsidR="00D242B6" w:rsidRPr="00057CAF">
        <w:rPr>
          <w:rFonts w:ascii="Garamond" w:hAnsi="Garamond"/>
          <w:lang w:val="fr-FR"/>
        </w:rPr>
        <w:t xml:space="preserve">les plus </w:t>
      </w:r>
      <w:r w:rsidRPr="00057CAF">
        <w:rPr>
          <w:rFonts w:ascii="Garamond" w:hAnsi="Garamond"/>
          <w:lang w:val="fr-FR"/>
        </w:rPr>
        <w:t>directs du PDR sur les variables du système, telles que flux (par exemple flux d’entrée lié à la fertilisation)</w:t>
      </w:r>
      <w:r w:rsidR="00D242B6" w:rsidRPr="00057CAF">
        <w:rPr>
          <w:rFonts w:ascii="Garamond" w:hAnsi="Garamond"/>
          <w:lang w:val="fr-FR"/>
        </w:rPr>
        <w:t>, de stock (par exemple l’azote de la biomasse du cheptel sur pied) voire de ratio entre flux (par exemple l’efficience azotée de l’élevage), et sur cette base analyse de la manière dont il influence les flux de sortie d’azote vers l’environnement ;</w:t>
      </w:r>
    </w:p>
    <w:p w:rsidR="00D242B6" w:rsidRPr="00057CAF" w:rsidRDefault="00D242B6" w:rsidP="006B7DE1">
      <w:pPr>
        <w:pStyle w:val="Paragraphedeliste"/>
        <w:numPr>
          <w:ilvl w:val="1"/>
          <w:numId w:val="5"/>
        </w:numPr>
        <w:rPr>
          <w:rFonts w:ascii="Garamond" w:hAnsi="Garamond"/>
          <w:lang w:val="fr-FR"/>
        </w:rPr>
      </w:pPr>
      <w:r w:rsidRPr="00057CAF">
        <w:rPr>
          <w:rFonts w:ascii="Garamond" w:hAnsi="Garamond"/>
          <w:lang w:val="fr-FR"/>
        </w:rPr>
        <w:t>Analyse des possibilités (qui s’avèrent limitées) de quantification de l’effet propre du PDR sur les flux de sortie vers l’environnement.</w:t>
      </w:r>
    </w:p>
    <w:p w:rsidR="00D242B6" w:rsidRPr="00057CAF" w:rsidRDefault="00D242B6" w:rsidP="0050022D">
      <w:pPr>
        <w:pStyle w:val="bullets"/>
        <w:rPr>
          <w:lang w:val="fr-FR"/>
        </w:rPr>
      </w:pPr>
      <w:r w:rsidRPr="00057CAF">
        <w:rPr>
          <w:lang w:val="fr-FR"/>
        </w:rPr>
        <w:lastRenderedPageBreak/>
        <w:t xml:space="preserve">L’évaluation repose également sur des analyses tendancielles de divers indicateurs tirés </w:t>
      </w:r>
      <w:r w:rsidR="008E16D2" w:rsidRPr="00057CAF">
        <w:rPr>
          <w:lang w:val="fr-FR"/>
        </w:rPr>
        <w:t xml:space="preserve">des rapports annuels de la DGO3 sur l’évolution de l’économie agricole et horticole de la Wallonie (indicateurs de facteurs intermédiaires de nos chaînes de causalité) ou des rapports périodiques de la cellule de suivi de l’état de l’environnement wallon (EEW) ; ces indicateurs sont tirés </w:t>
      </w:r>
      <w:r w:rsidRPr="00057CAF">
        <w:rPr>
          <w:lang w:val="fr-FR"/>
        </w:rPr>
        <w:t xml:space="preserve">directement </w:t>
      </w:r>
      <w:r w:rsidR="008E16D2" w:rsidRPr="00057CAF">
        <w:rPr>
          <w:lang w:val="fr-FR"/>
        </w:rPr>
        <w:t xml:space="preserve">de ces sources </w:t>
      </w:r>
      <w:r w:rsidRPr="00057CAF">
        <w:rPr>
          <w:lang w:val="fr-FR"/>
        </w:rPr>
        <w:t xml:space="preserve">ou construits à partir de données </w:t>
      </w:r>
      <w:r w:rsidR="008E16D2" w:rsidRPr="00057CAF">
        <w:rPr>
          <w:lang w:val="fr-FR"/>
        </w:rPr>
        <w:t xml:space="preserve">qui en sont </w:t>
      </w:r>
      <w:r w:rsidRPr="00057CAF">
        <w:rPr>
          <w:lang w:val="fr-FR"/>
        </w:rPr>
        <w:t>tirées</w:t>
      </w:r>
      <w:r w:rsidR="008E16D2" w:rsidRPr="00057CAF">
        <w:rPr>
          <w:lang w:val="fr-FR"/>
        </w:rPr>
        <w:t> ; ces courbes, ainsi que les commentaires dont elles font l’objet dans les rapports dont elles sont extraites, servent de support à la réflexion sur les déterminants de leurs inflexions et le rôle possible du PDR parmi les diverses causes envisagées.</w:t>
      </w:r>
    </w:p>
    <w:p w:rsidR="008E16D2" w:rsidRPr="00057CAF" w:rsidRDefault="00092499" w:rsidP="0050022D">
      <w:pPr>
        <w:pStyle w:val="bullets"/>
        <w:rPr>
          <w:lang w:val="fr-FR"/>
        </w:rPr>
      </w:pPr>
      <w:r w:rsidRPr="00057CAF">
        <w:rPr>
          <w:lang w:val="fr-FR"/>
        </w:rPr>
        <w:t xml:space="preserve">Les données recherchées pour alimenter l’évaluation sont les informations (indicateurs formels ou « indications ») jugées nécessaires ou utiles pour porter un diagnostic par critère de jugement ; elles sont issues d’écrits (publications, rapports), de visites de terrain, </w:t>
      </w:r>
      <w:r w:rsidR="003C525B" w:rsidRPr="00057CAF">
        <w:rPr>
          <w:lang w:val="fr-FR"/>
        </w:rPr>
        <w:t xml:space="preserve">de la participation à des journées de rencontre, </w:t>
      </w:r>
      <w:r w:rsidRPr="00057CAF">
        <w:rPr>
          <w:lang w:val="fr-FR"/>
        </w:rPr>
        <w:t xml:space="preserve">d’une enquête auprès des bénéficiaires, d’un focus group avec les conseillers Natagriwal et de discussions entre experts. </w:t>
      </w:r>
      <w:r w:rsidR="008E16D2" w:rsidRPr="00057CAF">
        <w:rPr>
          <w:lang w:val="fr-FR"/>
        </w:rPr>
        <w:t xml:space="preserve">Il est à noter que l’enquête auprès des bénéficiaires a notamment confirmé </w:t>
      </w:r>
      <w:r w:rsidR="00AB585B" w:rsidRPr="00057CAF">
        <w:rPr>
          <w:lang w:val="fr-FR"/>
        </w:rPr>
        <w:t xml:space="preserve">une hypothèse importante pour les </w:t>
      </w:r>
      <w:r w:rsidR="008E16D2" w:rsidRPr="00057CAF">
        <w:rPr>
          <w:lang w:val="fr-FR"/>
        </w:rPr>
        <w:t xml:space="preserve">choix méthodologiques </w:t>
      </w:r>
      <w:r w:rsidR="00AB585B" w:rsidRPr="00057CAF">
        <w:rPr>
          <w:lang w:val="fr-FR"/>
        </w:rPr>
        <w:t>(et le suivi des préconisations du help desk), d’effets significatifs du PDR en dehors des terres sous contrat.</w:t>
      </w:r>
    </w:p>
    <w:p w:rsidR="00691B97" w:rsidRPr="00057CAF" w:rsidRDefault="00691B97" w:rsidP="0050022D">
      <w:pPr>
        <w:pStyle w:val="bullets"/>
        <w:rPr>
          <w:rFonts w:eastAsiaTheme="minorHAnsi" w:cstheme="minorBidi"/>
          <w:szCs w:val="22"/>
          <w:lang w:val="fr-FR"/>
        </w:rPr>
      </w:pPr>
      <w:r w:rsidRPr="00057CAF">
        <w:rPr>
          <w:rFonts w:eastAsiaTheme="minorHAnsi" w:cstheme="minorBidi"/>
          <w:szCs w:val="22"/>
          <w:lang w:val="fr-FR"/>
        </w:rPr>
        <w:t xml:space="preserve">L’adoption d’une approche intégrée a également pour corollaire que les recommandations sont élaborées globalement et non question par question.  </w:t>
      </w:r>
    </w:p>
    <w:p w:rsidR="00BC5BDB" w:rsidRDefault="002C58EE" w:rsidP="0050022D">
      <w:pPr>
        <w:pStyle w:val="Titre3"/>
      </w:pPr>
      <w:bookmarkStart w:id="63" w:name="_Toc11278969"/>
      <w:bookmarkStart w:id="64" w:name="_Toc11333801"/>
      <w:bookmarkStart w:id="65" w:name="_Toc25688773"/>
      <w:r>
        <w:t>2</w:t>
      </w:r>
      <w:r w:rsidR="000B14F5">
        <w:t xml:space="preserve">. </w:t>
      </w:r>
      <w:r w:rsidR="00BC5BDB" w:rsidRPr="00146DB7">
        <w:t>Problèmes et limitations méthodologiques</w:t>
      </w:r>
      <w:bookmarkEnd w:id="62"/>
      <w:bookmarkEnd w:id="63"/>
      <w:bookmarkEnd w:id="64"/>
      <w:bookmarkEnd w:id="65"/>
      <w:r w:rsidR="00BC5BDB" w:rsidRPr="00146DB7">
        <w:t xml:space="preserve"> </w:t>
      </w:r>
    </w:p>
    <w:p w:rsidR="0007367C" w:rsidRPr="00057CAF" w:rsidRDefault="0007367C" w:rsidP="0007367C">
      <w:pPr>
        <w:rPr>
          <w:lang w:val="fr-FR"/>
        </w:rPr>
      </w:pPr>
      <w:r w:rsidRPr="00057CAF">
        <w:rPr>
          <w:lang w:val="fr-FR"/>
        </w:rPr>
        <w:t xml:space="preserve">Les </w:t>
      </w:r>
      <w:r w:rsidR="00B34B51" w:rsidRPr="00057CAF">
        <w:rPr>
          <w:lang w:val="fr-FR"/>
        </w:rPr>
        <w:t xml:space="preserve">principales </w:t>
      </w:r>
      <w:r w:rsidRPr="00057CAF">
        <w:rPr>
          <w:lang w:val="fr-FR"/>
        </w:rPr>
        <w:t xml:space="preserve">difficultés et limitations méthodologiques </w:t>
      </w:r>
      <w:r w:rsidR="00B34B51" w:rsidRPr="00057CAF">
        <w:rPr>
          <w:lang w:val="fr-FR"/>
        </w:rPr>
        <w:t xml:space="preserve">générales </w:t>
      </w:r>
      <w:r w:rsidRPr="00057CAF">
        <w:rPr>
          <w:lang w:val="fr-FR"/>
        </w:rPr>
        <w:t>sont les suivantes :</w:t>
      </w:r>
    </w:p>
    <w:p w:rsidR="007274B9" w:rsidRPr="00057CAF" w:rsidRDefault="008D5C9E" w:rsidP="0050022D">
      <w:pPr>
        <w:pStyle w:val="bullets"/>
        <w:rPr>
          <w:rFonts w:eastAsiaTheme="minorHAnsi" w:cstheme="minorBidi"/>
          <w:szCs w:val="22"/>
          <w:lang w:val="fr-FR"/>
        </w:rPr>
      </w:pPr>
      <w:r w:rsidRPr="00057CAF">
        <w:rPr>
          <w:lang w:val="fr-FR"/>
        </w:rPr>
        <w:t xml:space="preserve">L’objet de l’évaluation, le PDR, est un instrument aux effets et objectifs multiples, et jouant complémentairement à bien d’autres instruments sur ces </w:t>
      </w:r>
      <w:r w:rsidR="00FF6BF3" w:rsidRPr="00057CAF">
        <w:rPr>
          <w:lang w:val="fr-FR"/>
        </w:rPr>
        <w:t xml:space="preserve">mêmes </w:t>
      </w:r>
      <w:r w:rsidRPr="00057CAF">
        <w:rPr>
          <w:lang w:val="fr-FR"/>
        </w:rPr>
        <w:t>effets et objectifs. L’évaluation ne portant pas de manière équilibrée sur l’ensemble de ces instruments, l’appréciation des effets propres du PDR est biaisée.</w:t>
      </w:r>
    </w:p>
    <w:p w:rsidR="00FF6BF3" w:rsidRPr="00057CAF" w:rsidRDefault="00FF6BF3" w:rsidP="0050022D">
      <w:pPr>
        <w:pStyle w:val="bullets"/>
        <w:rPr>
          <w:rFonts w:eastAsiaTheme="minorHAnsi" w:cstheme="minorBidi"/>
          <w:szCs w:val="22"/>
          <w:lang w:val="fr-FR"/>
        </w:rPr>
      </w:pPr>
      <w:r w:rsidRPr="00057CAF">
        <w:rPr>
          <w:rFonts w:eastAsiaTheme="minorHAnsi" w:cstheme="minorBidi"/>
          <w:szCs w:val="22"/>
          <w:lang w:val="fr-FR"/>
        </w:rPr>
        <w:t xml:space="preserve">La situation de référence étant celle sans PDR, il existe une discordance par rapport à l’approche suivie par l’EES </w:t>
      </w:r>
      <w:r w:rsidRPr="00057CAF">
        <w:rPr>
          <w:rFonts w:eastAsiaTheme="minorHAnsi" w:cstheme="minorBidi"/>
          <w:i/>
          <w:szCs w:val="22"/>
          <w:lang w:val="fr-FR"/>
        </w:rPr>
        <w:t>ex-ante</w:t>
      </w:r>
      <w:r w:rsidRPr="00057CAF">
        <w:rPr>
          <w:rFonts w:eastAsiaTheme="minorHAnsi" w:cstheme="minorBidi"/>
          <w:szCs w:val="22"/>
          <w:lang w:val="fr-FR"/>
        </w:rPr>
        <w:t xml:space="preserve"> (Bio by Deloite, 2014) ce qui ne permet pas d’articuler les deux études ; en effet l’EES décrit comme situation de référence la situation antérieure à la mise en œuvre du PDR 2014-2020</w:t>
      </w:r>
      <w:r w:rsidRPr="00146DB7">
        <w:rPr>
          <w:rFonts w:eastAsiaTheme="minorHAnsi" w:cstheme="minorBidi"/>
          <w:szCs w:val="22"/>
          <w:vertAlign w:val="superscript"/>
        </w:rPr>
        <w:footnoteReference w:id="1"/>
      </w:r>
      <w:r w:rsidRPr="00057CAF">
        <w:rPr>
          <w:rFonts w:eastAsiaTheme="minorHAnsi" w:cstheme="minorBidi"/>
          <w:szCs w:val="22"/>
          <w:lang w:val="fr-FR"/>
        </w:rPr>
        <w:t>, c’est-à-dire la situation résultant du PDR précédent.</w:t>
      </w:r>
    </w:p>
    <w:p w:rsidR="0058528D" w:rsidRPr="00057CAF" w:rsidRDefault="0058528D" w:rsidP="0050022D">
      <w:pPr>
        <w:pStyle w:val="bullets"/>
        <w:rPr>
          <w:rFonts w:eastAsiaTheme="minorHAnsi" w:cstheme="minorBidi"/>
          <w:szCs w:val="22"/>
          <w:lang w:val="fr-FR"/>
        </w:rPr>
      </w:pPr>
      <w:r w:rsidRPr="00057CAF">
        <w:rPr>
          <w:rFonts w:eastAsiaTheme="minorHAnsi" w:cstheme="minorBidi"/>
          <w:szCs w:val="22"/>
          <w:lang w:val="fr-FR"/>
        </w:rPr>
        <w:t xml:space="preserve">L’évaluation porte exclusivement sur les mesures cofinancées par le FEADER, ce qui ne permet pas de rendre compte des effets indirects liés au fait que le cofinancement européen libère de l’argent wallon pour d’autres actions, qu’elles relèvent du développement rural ou non. Dans le domaine strict du développement rural, nous relevons que la Région a choisi de financer elle-même des actions potentiellement éligibles au FEADER (cas de M1.1) ce qui les soustrait à l’évaluation.  Au plan de la gouvernance, cela signifie que la Région a la liberté de ne pas tout dévoiler à l’évaluation et au plan méthodologique pour l’évaluation, cela signifie qu’on n’aura rien évalué de cohérent, puisqu’on n’évalue vraiment ni tout l’impact des apports du FEADER ni tout l’impact de la politique wallonne de développement rural. </w:t>
      </w:r>
    </w:p>
    <w:p w:rsidR="007D2BB9" w:rsidRPr="00057CAF" w:rsidRDefault="008D5C9E" w:rsidP="0050022D">
      <w:pPr>
        <w:pStyle w:val="bullets"/>
        <w:rPr>
          <w:rFonts w:eastAsiaTheme="minorHAnsi" w:cstheme="minorBidi"/>
          <w:szCs w:val="22"/>
          <w:lang w:val="fr-FR"/>
        </w:rPr>
      </w:pPr>
      <w:r w:rsidRPr="00057CAF">
        <w:rPr>
          <w:lang w:val="fr-FR"/>
        </w:rPr>
        <w:t>La situation de référence (</w:t>
      </w:r>
      <w:r w:rsidR="0058528D" w:rsidRPr="00057CAF">
        <w:rPr>
          <w:lang w:val="fr-FR"/>
        </w:rPr>
        <w:t xml:space="preserve">situation fictive </w:t>
      </w:r>
      <w:r w:rsidRPr="00057CAF">
        <w:rPr>
          <w:lang w:val="fr-FR"/>
        </w:rPr>
        <w:t>sans PDR) est une situation dif</w:t>
      </w:r>
      <w:r w:rsidR="0058528D" w:rsidRPr="00057CAF">
        <w:rPr>
          <w:lang w:val="fr-FR"/>
        </w:rPr>
        <w:t xml:space="preserve">ficile à définir et incertaine. Sa description </w:t>
      </w:r>
      <w:r w:rsidR="00691B97" w:rsidRPr="00057CAF">
        <w:rPr>
          <w:rFonts w:eastAsiaTheme="minorHAnsi" w:cstheme="minorBidi"/>
          <w:szCs w:val="22"/>
          <w:lang w:val="fr-FR"/>
        </w:rPr>
        <w:t xml:space="preserve">est très dépendante de suppositions sur la manière dont la non-reconduction aurait été organisée et </w:t>
      </w:r>
      <w:r w:rsidR="007274B9" w:rsidRPr="00057CAF">
        <w:rPr>
          <w:rFonts w:eastAsiaTheme="minorHAnsi" w:cstheme="minorBidi"/>
          <w:szCs w:val="22"/>
          <w:lang w:val="fr-FR"/>
        </w:rPr>
        <w:t>sur le</w:t>
      </w:r>
      <w:r w:rsidR="00691B97" w:rsidRPr="00057CAF">
        <w:rPr>
          <w:rFonts w:eastAsiaTheme="minorHAnsi" w:cstheme="minorBidi"/>
          <w:szCs w:val="22"/>
          <w:lang w:val="fr-FR"/>
        </w:rPr>
        <w:t xml:space="preserve">s mesures de substitution </w:t>
      </w:r>
      <w:r w:rsidR="007274B9" w:rsidRPr="00057CAF">
        <w:rPr>
          <w:rFonts w:eastAsiaTheme="minorHAnsi" w:cstheme="minorBidi"/>
          <w:szCs w:val="22"/>
          <w:lang w:val="fr-FR"/>
        </w:rPr>
        <w:t xml:space="preserve">que </w:t>
      </w:r>
      <w:r w:rsidR="00691B97" w:rsidRPr="00057CAF">
        <w:rPr>
          <w:rFonts w:eastAsiaTheme="minorHAnsi" w:cstheme="minorBidi"/>
          <w:szCs w:val="22"/>
          <w:lang w:val="fr-FR"/>
        </w:rPr>
        <w:t>le Gouvernement</w:t>
      </w:r>
      <w:r w:rsidR="007274B9" w:rsidRPr="00057CAF">
        <w:rPr>
          <w:rFonts w:eastAsiaTheme="minorHAnsi" w:cstheme="minorBidi"/>
          <w:szCs w:val="22"/>
          <w:lang w:val="fr-FR"/>
        </w:rPr>
        <w:t xml:space="preserve"> aurait pu prendre</w:t>
      </w:r>
      <w:r w:rsidR="00691B97" w:rsidRPr="00057CAF">
        <w:rPr>
          <w:rFonts w:eastAsiaTheme="minorHAnsi" w:cstheme="minorBidi"/>
          <w:szCs w:val="22"/>
          <w:lang w:val="fr-FR"/>
        </w:rPr>
        <w:t>.</w:t>
      </w:r>
      <w:r w:rsidR="007274B9" w:rsidRPr="00057CAF">
        <w:rPr>
          <w:rFonts w:eastAsiaTheme="minorHAnsi" w:cstheme="minorBidi"/>
          <w:szCs w:val="22"/>
          <w:lang w:val="fr-FR"/>
        </w:rPr>
        <w:t xml:space="preserve"> De plus elle ne peut se  décrire sans une séparation entre les effets respectifs des deux PDR, alors que cette délimitation est rendue difficile dès lors que le nouveau PDR finance ou relaie des actions décidées lors du PDR précédent sur base de suppositions faites sur celui-ci. L’évaluation aurait pu se fonder sur des bases plus solides si elle avait consisté à comparer </w:t>
      </w:r>
      <w:r w:rsidR="007274B9" w:rsidRPr="00057CAF">
        <w:rPr>
          <w:rFonts w:eastAsiaTheme="minorHAnsi" w:cstheme="minorBidi"/>
          <w:szCs w:val="22"/>
          <w:lang w:val="fr-FR"/>
        </w:rPr>
        <w:lastRenderedPageBreak/>
        <w:t>des options réalistes et préalablement décrites. Cette dernière approche aurait également été plus appropriée pour faire de l’évaluation un outil d’aide à la décision.</w:t>
      </w:r>
    </w:p>
    <w:p w:rsidR="007D2BB9" w:rsidRPr="00057CAF" w:rsidRDefault="007967A1" w:rsidP="0050022D">
      <w:pPr>
        <w:pStyle w:val="bullets"/>
        <w:rPr>
          <w:rFonts w:eastAsiaTheme="minorHAnsi" w:cstheme="minorBidi"/>
          <w:szCs w:val="22"/>
          <w:lang w:val="fr-FR"/>
        </w:rPr>
      </w:pPr>
      <w:r w:rsidRPr="00057CAF">
        <w:rPr>
          <w:lang w:val="fr-FR"/>
        </w:rPr>
        <w:t xml:space="preserve">L’évaluation ne peut pas non plus reposer sur l’observation comparative de terres avec ou sans contrat (approche contrefactuelle </w:t>
      </w:r>
      <w:r w:rsidR="0058528D" w:rsidRPr="00057CAF">
        <w:rPr>
          <w:lang w:val="fr-FR"/>
        </w:rPr>
        <w:t xml:space="preserve">préconisée par le help desk), </w:t>
      </w:r>
      <w:r w:rsidRPr="00057CAF">
        <w:rPr>
          <w:lang w:val="fr-FR"/>
        </w:rPr>
        <w:t xml:space="preserve">faute de preuve </w:t>
      </w:r>
      <w:r w:rsidR="0058528D" w:rsidRPr="00057CAF">
        <w:rPr>
          <w:lang w:val="fr-FR"/>
        </w:rPr>
        <w:t>que les espaces sans contrat soient des espaces à la fois sans influence du PDR et comparables à ceux où les contrats sont exécutés.</w:t>
      </w:r>
      <w:r w:rsidR="00AB693D" w:rsidRPr="00057CAF">
        <w:rPr>
          <w:lang w:val="fr-FR"/>
        </w:rPr>
        <w:t xml:space="preserve"> </w:t>
      </w:r>
      <w:r w:rsidR="0047668B" w:rsidRPr="00057CAF">
        <w:rPr>
          <w:lang w:val="fr-FR"/>
        </w:rPr>
        <w:t>L’évaluation portant sur le PDR dans sa globalité, la plus grande objection à l’approche contrefactuelle est l’absence de contrefactuel sans PDR, puisque celui-ci est applicable partout et qu’il n’existe pratiquement pas de terres hors influence des mesures du PDR étant donné la large portée spatiale de leur mise en œuvre et la distance à laquelle s’exercent les incidences environnementales.</w:t>
      </w:r>
      <w:r w:rsidR="00C23BEB" w:rsidRPr="00057CAF">
        <w:rPr>
          <w:lang w:val="fr-FR"/>
        </w:rPr>
        <w:t xml:space="preserve">  Un autre obstacle majeur</w:t>
      </w:r>
      <w:r w:rsidR="00976147" w:rsidRPr="00057CAF">
        <w:rPr>
          <w:lang w:val="fr-FR"/>
        </w:rPr>
        <w:t xml:space="preserve"> à la comparabilité de terres avec et sans mesures</w:t>
      </w:r>
      <w:r w:rsidR="00C23BEB" w:rsidRPr="00057CAF">
        <w:rPr>
          <w:lang w:val="fr-FR"/>
        </w:rPr>
        <w:t xml:space="preserve"> est l’incertitude sur les déterminants de mise en œuvre des mesures </w:t>
      </w:r>
      <w:r w:rsidR="00976147" w:rsidRPr="00057CAF">
        <w:rPr>
          <w:lang w:val="fr-FR"/>
        </w:rPr>
        <w:t xml:space="preserve">(par </w:t>
      </w:r>
      <w:r w:rsidR="00976147" w:rsidRPr="00057CAF">
        <w:rPr>
          <w:rFonts w:eastAsiaTheme="minorHAnsi" w:cstheme="minorBidi"/>
          <w:szCs w:val="22"/>
          <w:lang w:val="fr-FR"/>
        </w:rPr>
        <w:t xml:space="preserve">exemple l’attitude des agriculteurs envers l’environnement ou les contraintes de production) </w:t>
      </w:r>
      <w:r w:rsidR="00976147" w:rsidRPr="00057CAF">
        <w:rPr>
          <w:lang w:val="fr-FR"/>
        </w:rPr>
        <w:t xml:space="preserve">et sur les conditions (plus ou moins corrélées à ces déterminants) qui jouent sur l’impact des mesures.  </w:t>
      </w:r>
      <w:r w:rsidR="00976147" w:rsidRPr="00057CAF">
        <w:rPr>
          <w:rFonts w:eastAsiaTheme="minorHAnsi" w:cstheme="minorBidi"/>
          <w:szCs w:val="22"/>
          <w:lang w:val="fr-FR"/>
        </w:rPr>
        <w:t>V</w:t>
      </w:r>
      <w:r w:rsidR="00C23BEB" w:rsidRPr="00057CAF">
        <w:rPr>
          <w:lang w:val="fr-FR"/>
        </w:rPr>
        <w:t>oir aussi point 3 plus bas, concernant les obstacles à la mise en œuvre de l’option A, fondée sur une approche contrefactuelle au niveau de mesures particulières, plutôt que du PDR.</w:t>
      </w:r>
    </w:p>
    <w:p w:rsidR="002C58EE" w:rsidRPr="00057CAF" w:rsidRDefault="002C58EE" w:rsidP="0050022D">
      <w:pPr>
        <w:pStyle w:val="bullets"/>
        <w:rPr>
          <w:lang w:val="fr-FR"/>
        </w:rPr>
      </w:pPr>
      <w:r w:rsidRPr="00057CAF">
        <w:rPr>
          <w:lang w:val="fr-FR"/>
        </w:rPr>
        <w:t>La mise en évidence des liens de causalité (et aussi des flux de matière) implique une forme de modélisation qui est complexe et qu’il n’est pas toujours possible de confronter totalement aux faits.</w:t>
      </w:r>
      <w:r w:rsidR="00691B97" w:rsidRPr="00057CAF">
        <w:rPr>
          <w:rFonts w:eastAsiaTheme="minorHAnsi" w:cstheme="minorBidi"/>
          <w:szCs w:val="22"/>
          <w:lang w:val="fr-FR"/>
        </w:rPr>
        <w:t xml:space="preserve"> L’un des défis posés par les réflexions communes à plusieurs questions est de limiter les répétitions ou le risque de contradictions lorsque les mêmes phénomènes sont évoqués plusieurs fois. Un autre défi résultant du jeu des références croisées est d’éviter les raisonnements circulaires, en particulier pour les processus en interaction mutuelle. Par exemple, le cheptel, la charge et la superficie des prairies sont reliés par des relations de causalité réciproques (toutes positives sauf l’effet des prairies sur la charge), ce qui contraint à rechercher les causes externes qui influencent ce triangle.</w:t>
      </w:r>
    </w:p>
    <w:p w:rsidR="007274B9" w:rsidRPr="00057CAF" w:rsidRDefault="007274B9" w:rsidP="0050022D">
      <w:pPr>
        <w:pStyle w:val="bullets"/>
        <w:rPr>
          <w:lang w:val="fr-FR"/>
        </w:rPr>
      </w:pPr>
      <w:r w:rsidRPr="00057CAF">
        <w:rPr>
          <w:rFonts w:eastAsiaTheme="minorHAnsi" w:cstheme="minorBidi"/>
          <w:szCs w:val="22"/>
          <w:lang w:val="fr-FR"/>
        </w:rPr>
        <w:t>Les délais entre causes et effets sont parfois longs, de sorte que certains impacts observés au cours du PDR actuel trouvent leur origine dans la période du PDR précédent. D’un autre côté il faut tenir compte du risque paradoxal d’inversions de temporalités entre la mise en œuvre de certaines mesures et la manifestation de leurs effets : c’est le cas de paiements donnés en échange d’un respect de cahier des charges pouvant susciter des efforts préalables pour s’y conformer.</w:t>
      </w:r>
    </w:p>
    <w:p w:rsidR="00092499" w:rsidRPr="00057CAF" w:rsidRDefault="002C58EE" w:rsidP="0050022D">
      <w:pPr>
        <w:pStyle w:val="bullets"/>
        <w:rPr>
          <w:lang w:val="fr-FR"/>
        </w:rPr>
      </w:pPr>
      <w:r w:rsidRPr="00057CAF">
        <w:rPr>
          <w:lang w:val="fr-FR"/>
        </w:rPr>
        <w:t xml:space="preserve">Les données </w:t>
      </w:r>
      <w:r w:rsidR="00092499" w:rsidRPr="00057CAF">
        <w:rPr>
          <w:lang w:val="fr-FR"/>
        </w:rPr>
        <w:t xml:space="preserve">ne sont pas toujours </w:t>
      </w:r>
      <w:r w:rsidRPr="00057CAF">
        <w:rPr>
          <w:lang w:val="fr-FR"/>
        </w:rPr>
        <w:t xml:space="preserve">disponibles </w:t>
      </w:r>
      <w:r w:rsidR="00092499" w:rsidRPr="00057CAF">
        <w:rPr>
          <w:lang w:val="fr-FR"/>
        </w:rPr>
        <w:t xml:space="preserve">– ou aisément disponibles – à l’échelle de perception et pour la période voulue ; généralement les données relatives aux possibles effets finaux (impacts) sont plus vieilles que les données de réalisation les plus récentes, ce qui ne permet pas de les utiliser pour apprécier les conséquences de ces dernières. </w:t>
      </w:r>
    </w:p>
    <w:p w:rsidR="008D5C9E" w:rsidRPr="00057CAF" w:rsidRDefault="00092499" w:rsidP="0050022D">
      <w:pPr>
        <w:pStyle w:val="bullets"/>
        <w:rPr>
          <w:lang w:val="fr-FR"/>
        </w:rPr>
      </w:pPr>
      <w:r w:rsidRPr="00057CAF">
        <w:rPr>
          <w:lang w:val="fr-FR"/>
        </w:rPr>
        <w:t>En même temps la recherche et le traitement de données est un travail sans fin, qu’il convient de proportionner aux bénéfices qu’on espère en tirer pour répondre aux questions.</w:t>
      </w:r>
      <w:r w:rsidR="002C58EE" w:rsidRPr="00057CAF">
        <w:rPr>
          <w:lang w:val="fr-FR"/>
        </w:rPr>
        <w:t xml:space="preserve"> </w:t>
      </w:r>
    </w:p>
    <w:p w:rsidR="00FE6337" w:rsidRPr="00057CAF" w:rsidRDefault="00FE6337" w:rsidP="0050022D">
      <w:pPr>
        <w:pStyle w:val="bullets"/>
        <w:rPr>
          <w:lang w:val="fr-FR"/>
        </w:rPr>
      </w:pPr>
      <w:r w:rsidRPr="00057CAF">
        <w:rPr>
          <w:rFonts w:eastAsiaTheme="minorHAnsi" w:cstheme="minorBidi"/>
          <w:szCs w:val="22"/>
          <w:lang w:val="fr-FR"/>
        </w:rPr>
        <w:t>La difficulté de quantifier est particulièrement importante pour les effets indirects ou non intentionnels, qui sont fort nombreux et pas forcément mineurs en comparaison des « contributions primaires »).  Or lorsque les effets directs sont quantifiables et les effets indirects non quantifiables, l’effet total est lui-même non quantifiable de l’effet total, avec une équation du type Y=A+X (avec X inconnu, + ou -). Ceci entraine des difficultés à calculer R18 (CH4, N2O) et R19 (NH3)  et l’impossibilité d’utiliser ces indicateurs dans la réponse aux questions.</w:t>
      </w:r>
    </w:p>
    <w:p w:rsidR="002C4251" w:rsidRPr="00057CAF" w:rsidRDefault="002C4251" w:rsidP="0050022D">
      <w:pPr>
        <w:pStyle w:val="bullets"/>
        <w:rPr>
          <w:rFonts w:eastAsiaTheme="minorHAnsi" w:cstheme="minorBidi"/>
          <w:szCs w:val="22"/>
          <w:lang w:val="fr-FR"/>
        </w:rPr>
      </w:pPr>
      <w:r w:rsidRPr="00057CAF">
        <w:rPr>
          <w:rFonts w:eastAsiaTheme="minorHAnsi" w:cstheme="minorBidi"/>
          <w:szCs w:val="22"/>
          <w:lang w:val="fr-FR"/>
        </w:rPr>
        <w:t xml:space="preserve">Les principaux indicateurs de résultat proposés par le CCSE pour l’environnement reflètent des </w:t>
      </w:r>
      <w:r w:rsidRPr="00057CAF">
        <w:rPr>
          <w:rFonts w:eastAsiaTheme="minorHAnsi" w:cstheme="minorBidi"/>
          <w:b/>
          <w:szCs w:val="22"/>
          <w:lang w:val="fr-FR"/>
        </w:rPr>
        <w:t xml:space="preserve">superficies sous contrat </w:t>
      </w:r>
      <w:r w:rsidRPr="00057CAF">
        <w:rPr>
          <w:rFonts w:eastAsiaTheme="minorHAnsi" w:cstheme="minorBidi"/>
          <w:szCs w:val="22"/>
          <w:lang w:val="fr-FR"/>
        </w:rPr>
        <w:t xml:space="preserve">(R6/T6, R7/T9, R8/T10, R9/T11, R10/T12, R11/T13). Or </w:t>
      </w:r>
      <w:r w:rsidRPr="00057CAF">
        <w:rPr>
          <w:rFonts w:eastAsiaTheme="minorHAnsi" w:cstheme="minorBidi"/>
          <w:b/>
          <w:szCs w:val="22"/>
          <w:lang w:val="fr-FR"/>
        </w:rPr>
        <w:t>la signification de ces indicateurs est minime</w:t>
      </w:r>
      <w:r w:rsidRPr="00057CAF">
        <w:rPr>
          <w:rFonts w:eastAsiaTheme="minorHAnsi" w:cstheme="minorBidi"/>
          <w:szCs w:val="22"/>
          <w:lang w:val="fr-FR"/>
        </w:rPr>
        <w:t xml:space="preserve"> étant donné que les divers types de « contrat » ont des degrés d’efficacité très différents, qu’ils ne disent donc rien de l’état de l’environnement </w:t>
      </w:r>
      <w:r w:rsidRPr="00057CAF">
        <w:rPr>
          <w:rFonts w:eastAsiaTheme="minorHAnsi" w:cstheme="minorBidi"/>
          <w:szCs w:val="22"/>
          <w:lang w:val="fr-FR"/>
        </w:rPr>
        <w:lastRenderedPageBreak/>
        <w:t xml:space="preserve">et qu’ils ne répondent en rien à la question cruciale de savoir si les différences d’état de la biodiversité entre superficies sous contrat et les autres sont dues ou non au PDR. </w:t>
      </w:r>
    </w:p>
    <w:p w:rsidR="002C4251" w:rsidRPr="00057CAF" w:rsidRDefault="002C4251" w:rsidP="0050022D">
      <w:pPr>
        <w:pStyle w:val="bullets"/>
        <w:rPr>
          <w:rFonts w:eastAsiaTheme="minorHAnsi" w:cstheme="minorBidi"/>
          <w:szCs w:val="22"/>
          <w:lang w:val="fr-FR"/>
        </w:rPr>
      </w:pPr>
      <w:r w:rsidRPr="00057CAF">
        <w:rPr>
          <w:rFonts w:eastAsiaTheme="minorHAnsi" w:cstheme="minorBidi"/>
          <w:szCs w:val="22"/>
          <w:lang w:val="fr-FR"/>
        </w:rPr>
        <w:t xml:space="preserve">Bien que l’on comprenne bien l’intérêt de développer des indicateurs qui puissent être agrégés au niveau européen, les indicateurs demandés ne sont donc pas toujours perçus comme utiles ou pertinents pour alimenter la réponse aux questions d’évaluation environnementales.  Dans de tels cas de manque de conviction quant à la pertinence des indicateurs, leur mesure apparait comme une </w:t>
      </w:r>
      <w:r w:rsidRPr="00057CAF">
        <w:rPr>
          <w:rFonts w:eastAsiaTheme="minorHAnsi" w:cstheme="minorBidi"/>
          <w:b/>
          <w:szCs w:val="22"/>
          <w:lang w:val="fr-FR"/>
        </w:rPr>
        <w:t xml:space="preserve">diversion par rapport au besoin de répondre aux questions. </w:t>
      </w:r>
    </w:p>
    <w:p w:rsidR="00BC5BDB" w:rsidRPr="00146DB7" w:rsidRDefault="0058528D" w:rsidP="0050022D">
      <w:pPr>
        <w:pStyle w:val="Titre3"/>
      </w:pPr>
      <w:bookmarkStart w:id="66" w:name="_Toc1055170"/>
      <w:bookmarkStart w:id="67" w:name="_Toc11278970"/>
      <w:bookmarkStart w:id="68" w:name="_Toc11333802"/>
      <w:bookmarkStart w:id="69" w:name="_Toc25688774"/>
      <w:r>
        <w:t>3</w:t>
      </w:r>
      <w:r w:rsidR="000B14F5">
        <w:t xml:space="preserve">. </w:t>
      </w:r>
      <w:r w:rsidR="00BC5BDB">
        <w:t xml:space="preserve">Positionnement envers les </w:t>
      </w:r>
      <w:r w:rsidR="00BC5BDB" w:rsidRPr="00146DB7">
        <w:t>préconisations du help desk</w:t>
      </w:r>
      <w:r w:rsidR="00BC5BDB">
        <w:t xml:space="preserve"> liées aux impacts</w:t>
      </w:r>
      <w:r w:rsidR="00BC5BDB" w:rsidRPr="00146DB7">
        <w:t>.</w:t>
      </w:r>
      <w:bookmarkEnd w:id="66"/>
      <w:bookmarkEnd w:id="67"/>
      <w:bookmarkEnd w:id="68"/>
      <w:bookmarkEnd w:id="69"/>
      <w:r w:rsidR="00BC5BDB" w:rsidRPr="00146DB7">
        <w:t xml:space="preserve"> </w:t>
      </w:r>
    </w:p>
    <w:p w:rsidR="00BC5BDB" w:rsidRPr="00057CAF" w:rsidRDefault="00BC5BDB" w:rsidP="00BC5BDB">
      <w:pPr>
        <w:spacing w:after="160"/>
        <w:rPr>
          <w:rFonts w:eastAsiaTheme="minorHAnsi" w:cstheme="minorBidi"/>
          <w:szCs w:val="22"/>
          <w:lang w:val="fr-FR"/>
        </w:rPr>
      </w:pPr>
      <w:r w:rsidRPr="00057CAF">
        <w:rPr>
          <w:rFonts w:eastAsiaTheme="minorHAnsi" w:cstheme="minorBidi"/>
          <w:szCs w:val="22"/>
          <w:lang w:val="fr-FR"/>
        </w:rPr>
        <w:t>Le document du help desk, préparatoire au rapport de 2019 (</w:t>
      </w:r>
      <w:proofErr w:type="spellStart"/>
      <w:r w:rsidRPr="00057CAF">
        <w:rPr>
          <w:rFonts w:eastAsiaTheme="minorHAnsi" w:cstheme="minorBidi"/>
          <w:szCs w:val="22"/>
          <w:lang w:val="fr-FR"/>
        </w:rPr>
        <w:t>European</w:t>
      </w:r>
      <w:proofErr w:type="spellEnd"/>
      <w:r w:rsidRPr="00057CAF">
        <w:rPr>
          <w:rFonts w:eastAsiaTheme="minorHAnsi" w:cstheme="minorBidi"/>
          <w:szCs w:val="22"/>
          <w:lang w:val="fr-FR"/>
        </w:rPr>
        <w:t xml:space="preserve"> Commission – </w:t>
      </w:r>
      <w:proofErr w:type="spellStart"/>
      <w:r w:rsidRPr="00057CAF">
        <w:rPr>
          <w:rFonts w:eastAsiaTheme="minorHAnsi" w:cstheme="minorBidi"/>
          <w:szCs w:val="22"/>
          <w:lang w:val="fr-FR"/>
        </w:rPr>
        <w:t>Directorate</w:t>
      </w:r>
      <w:proofErr w:type="spellEnd"/>
      <w:r w:rsidRPr="00057CAF">
        <w:rPr>
          <w:rFonts w:eastAsiaTheme="minorHAnsi" w:cstheme="minorBidi"/>
          <w:szCs w:val="22"/>
          <w:lang w:val="fr-FR"/>
        </w:rPr>
        <w:t xml:space="preserve">-General for Agriculture and Rural </w:t>
      </w:r>
      <w:proofErr w:type="spellStart"/>
      <w:r w:rsidRPr="00057CAF">
        <w:rPr>
          <w:rFonts w:eastAsiaTheme="minorHAnsi" w:cstheme="minorBidi"/>
          <w:szCs w:val="22"/>
          <w:lang w:val="fr-FR"/>
        </w:rPr>
        <w:t>Development</w:t>
      </w:r>
      <w:proofErr w:type="spellEnd"/>
      <w:r w:rsidRPr="00057CAF">
        <w:rPr>
          <w:rFonts w:eastAsiaTheme="minorHAnsi" w:cstheme="minorBidi"/>
          <w:szCs w:val="22"/>
          <w:lang w:val="fr-FR"/>
        </w:rPr>
        <w:t xml:space="preserve"> – Unit C.4 (2018). Guidelines : </w:t>
      </w:r>
      <w:proofErr w:type="spellStart"/>
      <w:r w:rsidRPr="00057CAF">
        <w:rPr>
          <w:rFonts w:eastAsiaTheme="minorHAnsi" w:cstheme="minorBidi"/>
          <w:szCs w:val="22"/>
          <w:lang w:val="fr-FR"/>
        </w:rPr>
        <w:t>Assessing</w:t>
      </w:r>
      <w:proofErr w:type="spellEnd"/>
      <w:r w:rsidRPr="00057CAF">
        <w:rPr>
          <w:rFonts w:eastAsiaTheme="minorHAnsi" w:cstheme="minorBidi"/>
          <w:szCs w:val="22"/>
          <w:lang w:val="fr-FR"/>
        </w:rPr>
        <w:t xml:space="preserve"> RDP </w:t>
      </w:r>
      <w:proofErr w:type="spellStart"/>
      <w:r w:rsidRPr="00057CAF">
        <w:rPr>
          <w:rFonts w:eastAsiaTheme="minorHAnsi" w:cstheme="minorBidi"/>
          <w:szCs w:val="22"/>
          <w:lang w:val="fr-FR"/>
        </w:rPr>
        <w:t>achievements</w:t>
      </w:r>
      <w:proofErr w:type="spellEnd"/>
      <w:r w:rsidRPr="00057CAF">
        <w:rPr>
          <w:rFonts w:eastAsiaTheme="minorHAnsi" w:cstheme="minorBidi"/>
          <w:szCs w:val="22"/>
          <w:lang w:val="fr-FR"/>
        </w:rPr>
        <w:t xml:space="preserve"> and impacts </w:t>
      </w:r>
      <w:proofErr w:type="spellStart"/>
      <w:r w:rsidRPr="00057CAF">
        <w:rPr>
          <w:rFonts w:eastAsiaTheme="minorHAnsi" w:cstheme="minorBidi"/>
          <w:szCs w:val="22"/>
          <w:lang w:val="fr-FR"/>
        </w:rPr>
        <w:t>in</w:t>
      </w:r>
      <w:proofErr w:type="spellEnd"/>
      <w:r w:rsidRPr="00057CAF">
        <w:rPr>
          <w:rFonts w:eastAsiaTheme="minorHAnsi" w:cstheme="minorBidi"/>
          <w:szCs w:val="22"/>
          <w:lang w:val="fr-FR"/>
        </w:rPr>
        <w:t xml:space="preserve"> 2019, Brussels), fournit des indications pour les différents indicateurs d’impact, ainsi que des modèles logiques pour le choix de l’approche à adopter pour l’analyse de l’impact correspondant.</w:t>
      </w:r>
    </w:p>
    <w:p w:rsidR="00BC5BDB" w:rsidRPr="00057CAF" w:rsidRDefault="00BC5BDB" w:rsidP="00BC5BDB">
      <w:pPr>
        <w:spacing w:after="160"/>
        <w:rPr>
          <w:rFonts w:eastAsiaTheme="minorHAnsi" w:cstheme="minorBidi"/>
          <w:szCs w:val="22"/>
          <w:lang w:val="fr-FR"/>
        </w:rPr>
      </w:pPr>
      <w:r w:rsidRPr="00057CAF">
        <w:rPr>
          <w:rFonts w:eastAsiaTheme="minorHAnsi" w:cstheme="minorBidi"/>
          <w:szCs w:val="22"/>
          <w:lang w:val="fr-FR"/>
        </w:rPr>
        <w:t xml:space="preserve">Les modèles logiques sont très semblables entre eux, tout en présentant parfois des variations dont la justification n’apparait pas clairement. Tous préconisent une option préférentielle (option </w:t>
      </w:r>
      <w:proofErr w:type="gramStart"/>
      <w:r w:rsidRPr="00057CAF">
        <w:rPr>
          <w:rFonts w:eastAsiaTheme="minorHAnsi" w:cstheme="minorBidi"/>
          <w:szCs w:val="22"/>
          <w:lang w:val="fr-FR"/>
        </w:rPr>
        <w:t>A ,</w:t>
      </w:r>
      <w:proofErr w:type="gramEnd"/>
      <w:r w:rsidRPr="00057CAF">
        <w:rPr>
          <w:rFonts w:eastAsiaTheme="minorHAnsi" w:cstheme="minorBidi"/>
          <w:szCs w:val="22"/>
          <w:lang w:val="fr-FR"/>
        </w:rPr>
        <w:t xml:space="preserve"> pour les cas où certaines conditions sont remplies, les autres options étant qualifiées de « naïves ». En général cette option est fondée sur des analyses statistiques des doubles différences (avec-sans, avant-après), avec appariement par score de propension (PSM). </w:t>
      </w:r>
    </w:p>
    <w:p w:rsidR="00BC5BDB" w:rsidRPr="00057CAF" w:rsidRDefault="00BC5BDB" w:rsidP="00BC5BDB">
      <w:pPr>
        <w:spacing w:after="160"/>
        <w:rPr>
          <w:rFonts w:eastAsiaTheme="minorHAnsi" w:cstheme="minorBidi"/>
          <w:szCs w:val="22"/>
          <w:lang w:val="fr-FR"/>
        </w:rPr>
      </w:pPr>
      <w:r w:rsidRPr="00057CAF">
        <w:rPr>
          <w:rFonts w:eastAsiaTheme="minorHAnsi" w:cstheme="minorBidi"/>
          <w:szCs w:val="22"/>
          <w:lang w:val="fr-FR"/>
        </w:rPr>
        <w:t xml:space="preserve">L’option préférentielle présuppose que les mesures ayant un impact sont fixées a priori, la comparaison entre exploitations adoptant ces mesures se faisant envers un témoin contrefactuel ne les adoptant pas. Elle présuppose également que l’impact découle uniquement de la mise en œuvre de ces mesures. Dans le cas de l’environnement, ces deux présuppositions ne sont pas vérifiées et </w:t>
      </w:r>
      <w:r w:rsidR="00964BA2" w:rsidRPr="00057CAF">
        <w:rPr>
          <w:rFonts w:eastAsiaTheme="minorHAnsi" w:cstheme="minorBidi"/>
          <w:szCs w:val="22"/>
          <w:lang w:val="fr-FR"/>
        </w:rPr>
        <w:t xml:space="preserve">apparaissent </w:t>
      </w:r>
      <w:r w:rsidR="007E3AED" w:rsidRPr="00057CAF">
        <w:rPr>
          <w:rFonts w:eastAsiaTheme="minorHAnsi" w:cstheme="minorBidi"/>
          <w:szCs w:val="22"/>
          <w:lang w:val="fr-FR"/>
        </w:rPr>
        <w:t xml:space="preserve">au contraire </w:t>
      </w:r>
      <w:r w:rsidR="00964BA2" w:rsidRPr="00057CAF">
        <w:rPr>
          <w:rFonts w:eastAsiaTheme="minorHAnsi" w:cstheme="minorBidi"/>
          <w:szCs w:val="22"/>
          <w:lang w:val="fr-FR"/>
        </w:rPr>
        <w:t xml:space="preserve">infondées. </w:t>
      </w:r>
    </w:p>
    <w:p w:rsidR="00BC5BDB" w:rsidRPr="00057CAF" w:rsidRDefault="00964BA2" w:rsidP="0050022D">
      <w:pPr>
        <w:pStyle w:val="bullets"/>
        <w:rPr>
          <w:lang w:val="fr-FR"/>
        </w:rPr>
      </w:pPr>
      <w:r w:rsidRPr="00057CAF">
        <w:rPr>
          <w:rFonts w:eastAsiaTheme="minorHAnsi" w:cstheme="minorBidi"/>
          <w:szCs w:val="22"/>
          <w:lang w:val="fr-FR"/>
        </w:rPr>
        <w:t>L’analyse des liens de causalité logiques suggèrent que l</w:t>
      </w:r>
      <w:r w:rsidR="00BC5BDB" w:rsidRPr="00057CAF">
        <w:rPr>
          <w:lang w:val="fr-FR"/>
        </w:rPr>
        <w:t xml:space="preserve">es effets indirects ou non-intentionnels sont potentiellement importants, avec un risque d’impact non négligeable en comparaison de celui des contributions primaires ou secondaires fixées a priori.  Des effets négatifs, en principe non intentionnels, </w:t>
      </w:r>
      <w:r w:rsidR="007E3AED" w:rsidRPr="00057CAF">
        <w:rPr>
          <w:lang w:val="fr-FR"/>
        </w:rPr>
        <w:t xml:space="preserve">sont possible, de même que </w:t>
      </w:r>
      <w:r w:rsidR="00BC5BDB" w:rsidRPr="00057CAF">
        <w:rPr>
          <w:lang w:val="fr-FR"/>
        </w:rPr>
        <w:t>des effets positifs indépenda</w:t>
      </w:r>
      <w:r w:rsidR="007E3AED" w:rsidRPr="00057CAF">
        <w:rPr>
          <w:lang w:val="fr-FR"/>
        </w:rPr>
        <w:t>nts de</w:t>
      </w:r>
      <w:r w:rsidR="00BC5BDB" w:rsidRPr="00057CAF">
        <w:rPr>
          <w:lang w:val="fr-FR"/>
        </w:rPr>
        <w:t xml:space="preserve">s clauses techniques des contrats : par exemple il suffirait que celui-ci soit suffisamment avantageux (y compris par des effets d’aubaine) pour inciter au respect des conditionnalités environnementales, faciliter les prises de risques liées à certaines innovations environnementales ou encore renforcer la viabilité d’exploitations ou de modes de production relativement favorables à l’environnement. </w:t>
      </w:r>
    </w:p>
    <w:p w:rsidR="00BC5BDB" w:rsidRPr="00057CAF" w:rsidRDefault="00964BA2" w:rsidP="0050022D">
      <w:pPr>
        <w:pStyle w:val="bullets"/>
        <w:rPr>
          <w:lang w:val="fr-FR"/>
        </w:rPr>
      </w:pPr>
      <w:r w:rsidRPr="00057CAF">
        <w:rPr>
          <w:lang w:val="fr-FR"/>
        </w:rPr>
        <w:t>L’enquête auprès des agriculteurs (présentée en annexe 9) démontre que les effets de certaines mesures existent, sans être négligeables</w:t>
      </w:r>
      <w:r w:rsidR="007E3AED" w:rsidRPr="00057CAF">
        <w:rPr>
          <w:lang w:val="fr-FR"/>
        </w:rPr>
        <w:t>, sur les terres hors contrat</w:t>
      </w:r>
      <w:r w:rsidRPr="00057CAF">
        <w:rPr>
          <w:lang w:val="fr-FR"/>
        </w:rPr>
        <w:t> : des agriculteurs peuvent s’inspirer des MAEC pour modifier des pratiques sur des parcelles hors contrats, ils peuvent également continuer avec des pratiques liées à ces contrats qu’ils n’ont pas renouvelé</w:t>
      </w:r>
      <w:r w:rsidR="007E3AED" w:rsidRPr="00057CAF">
        <w:rPr>
          <w:lang w:val="fr-FR"/>
        </w:rPr>
        <w:t>s</w:t>
      </w:r>
      <w:r w:rsidRPr="00057CAF">
        <w:rPr>
          <w:lang w:val="fr-FR"/>
        </w:rPr>
        <w:t xml:space="preserve">, et ils peuvent également modifier des pratiques en vue de contrats qu’ils n’ont pas encore (de manière à évoluer vers </w:t>
      </w:r>
      <w:r w:rsidR="00BC5BDB" w:rsidRPr="00057CAF">
        <w:rPr>
          <w:lang w:val="fr-FR"/>
        </w:rPr>
        <w:t>les conditions d’éligibilité</w:t>
      </w:r>
      <w:r w:rsidRPr="00057CAF">
        <w:rPr>
          <w:lang w:val="fr-FR"/>
        </w:rPr>
        <w:t>)</w:t>
      </w:r>
      <w:r w:rsidR="00BC5BDB" w:rsidRPr="00057CAF">
        <w:rPr>
          <w:lang w:val="fr-FR"/>
        </w:rPr>
        <w:t xml:space="preserve">. C’est notamment le cas de la faible charge en bétail pour la MAEC MB9. Or celle-ci est la principale mesure à laquelle peut être associée une amélioration environnementale vérifiable au niveau de l’exploitation (à savoir une réduction d’émissions de méthane ou d’ammoniac). </w:t>
      </w:r>
    </w:p>
    <w:p w:rsidR="00BC5BDB" w:rsidRPr="00057CAF" w:rsidRDefault="00BC5BDB" w:rsidP="00BC5BDB">
      <w:pPr>
        <w:spacing w:after="160"/>
        <w:rPr>
          <w:rFonts w:eastAsiaTheme="minorHAnsi" w:cstheme="minorBidi"/>
          <w:szCs w:val="22"/>
          <w:lang w:val="fr-FR"/>
        </w:rPr>
      </w:pPr>
      <w:r w:rsidRPr="00057CAF">
        <w:rPr>
          <w:rFonts w:eastAsiaTheme="minorHAnsi" w:cstheme="minorBidi"/>
          <w:szCs w:val="22"/>
          <w:lang w:val="fr-FR"/>
        </w:rPr>
        <w:t xml:space="preserve">Le caractère optimal et « non-naïf » de l’option A peut donc être contesté. S’en tenir aux jugements faits a priori introduirait une forme de circularité dans le raisonnement de l’évaluation, en l’empêchant de vérifier dans quelle mesure la contribution effective d’une mesure est bien celle fixée a priori. </w:t>
      </w:r>
    </w:p>
    <w:p w:rsidR="00BC5BDB" w:rsidRPr="00057CAF" w:rsidRDefault="00BC5BDB" w:rsidP="00BC5BDB">
      <w:pPr>
        <w:spacing w:after="160"/>
        <w:rPr>
          <w:rFonts w:eastAsiaTheme="minorHAnsi" w:cstheme="minorBidi"/>
          <w:szCs w:val="22"/>
          <w:lang w:val="fr-FR"/>
        </w:rPr>
      </w:pPr>
      <w:r w:rsidRPr="00057CAF">
        <w:rPr>
          <w:rFonts w:eastAsiaTheme="minorHAnsi" w:cstheme="minorBidi"/>
          <w:szCs w:val="22"/>
          <w:lang w:val="fr-FR"/>
        </w:rPr>
        <w:lastRenderedPageBreak/>
        <w:t>Par ailleurs les conditions indiquées par les lignes directrices pour la mise en œuvre de l’option A sont rarement remplies</w:t>
      </w:r>
      <w:r w:rsidR="00C23BEB" w:rsidRPr="00057CAF">
        <w:rPr>
          <w:rFonts w:eastAsiaTheme="minorHAnsi" w:cstheme="minorBidi"/>
          <w:szCs w:val="22"/>
          <w:lang w:val="fr-FR"/>
        </w:rPr>
        <w:t>, pour les raisons suivantes</w:t>
      </w:r>
      <w:r w:rsidR="0047668B" w:rsidRPr="00057CAF">
        <w:rPr>
          <w:rFonts w:eastAsiaTheme="minorHAnsi" w:cstheme="minorBidi"/>
          <w:szCs w:val="22"/>
          <w:lang w:val="fr-FR"/>
        </w:rPr>
        <w:t xml:space="preserve">. </w:t>
      </w:r>
    </w:p>
    <w:p w:rsidR="0047668B" w:rsidRPr="00057CAF" w:rsidRDefault="00C23BEB" w:rsidP="0050022D">
      <w:pPr>
        <w:pStyle w:val="bullets"/>
        <w:rPr>
          <w:lang w:val="fr-FR"/>
        </w:rPr>
      </w:pPr>
      <w:r w:rsidRPr="00057CAF">
        <w:rPr>
          <w:lang w:val="fr-FR"/>
        </w:rPr>
        <w:t xml:space="preserve">La </w:t>
      </w:r>
      <w:r w:rsidR="0047668B" w:rsidRPr="00057CAF">
        <w:rPr>
          <w:lang w:val="fr-FR"/>
        </w:rPr>
        <w:t>grande incertitude sur les déterminants de la mise en œuvre de la plupart des mesures et dès lors sur les conditions de comparabilité dans le cadre de la Propensity Score Matching (à l’exception du déterminant que constitue la situation environnementale ou le caractère marginal de la parcelle)</w:t>
      </w:r>
      <w:r w:rsidR="0047668B" w:rsidRPr="00057CAF">
        <w:rPr>
          <w:rFonts w:eastAsiaTheme="minorHAnsi" w:cstheme="minorBidi"/>
          <w:szCs w:val="22"/>
          <w:lang w:val="fr-FR"/>
        </w:rPr>
        <w:t>;</w:t>
      </w:r>
    </w:p>
    <w:p w:rsidR="0047668B" w:rsidRPr="00057CAF" w:rsidRDefault="0047668B" w:rsidP="0050022D">
      <w:pPr>
        <w:pStyle w:val="bullets"/>
        <w:rPr>
          <w:lang w:val="fr-FR"/>
        </w:rPr>
      </w:pPr>
      <w:r w:rsidRPr="00057CAF">
        <w:rPr>
          <w:lang w:val="fr-FR"/>
        </w:rPr>
        <w:t>L’absence de situation contrefactuelle comparable pour certaines mesures importantes (comme M10, éligible partout, et M12 et M13 dont l’éligibilité est liée à la situation environnementale)</w:t>
      </w:r>
      <w:r w:rsidR="00C23BEB" w:rsidRPr="00057CAF">
        <w:rPr>
          <w:lang w:val="fr-FR"/>
        </w:rPr>
        <w:t> ;</w:t>
      </w:r>
      <w:r w:rsidRPr="00057CAF">
        <w:rPr>
          <w:lang w:val="fr-FR"/>
        </w:rPr>
        <w:t xml:space="preserve"> </w:t>
      </w:r>
    </w:p>
    <w:p w:rsidR="0047668B" w:rsidRPr="00057CAF" w:rsidRDefault="0047668B" w:rsidP="0050022D">
      <w:pPr>
        <w:pStyle w:val="bullets"/>
        <w:rPr>
          <w:lang w:val="fr-FR"/>
        </w:rPr>
      </w:pPr>
      <w:r w:rsidRPr="00057CAF">
        <w:rPr>
          <w:lang w:val="fr-FR"/>
        </w:rPr>
        <w:t>Le manque de données environnementales pouvant être mise en relation de manière distincte avec des groupes de bénéficiaires et de non-bénéficiaires : l’information environnementale n’est généralement pas disponible au bon niveau de perception ni généralement assez récente pour pouvoir être mise en relation avec la mise en œuvre de mesures susceptibles d’avoir exercé une influence</w:t>
      </w:r>
      <w:r w:rsidR="00C23BEB" w:rsidRPr="00057CAF">
        <w:rPr>
          <w:lang w:val="fr-FR"/>
        </w:rPr>
        <w:t> ;</w:t>
      </w:r>
      <w:r w:rsidRPr="00057CAF">
        <w:rPr>
          <w:lang w:val="fr-FR"/>
        </w:rPr>
        <w:t xml:space="preserve"> </w:t>
      </w:r>
    </w:p>
    <w:p w:rsidR="00C23BEB" w:rsidRPr="00057CAF" w:rsidRDefault="0047668B" w:rsidP="0050022D">
      <w:pPr>
        <w:pStyle w:val="bullets"/>
        <w:rPr>
          <w:lang w:val="fr-FR"/>
        </w:rPr>
      </w:pPr>
      <w:r w:rsidRPr="00057CAF">
        <w:rPr>
          <w:lang w:val="fr-FR"/>
        </w:rPr>
        <w:t>La grande distance à laquelle peut s’exercer un impact environnemental et la forte interaction entre les diverses causes d’impact (</w:t>
      </w:r>
      <w:r w:rsidR="00C23BEB" w:rsidRPr="00057CAF">
        <w:rPr>
          <w:lang w:val="fr-FR"/>
        </w:rPr>
        <w:t xml:space="preserve">limitant la portée de l’approche contrefactuelle à l’analyse des </w:t>
      </w:r>
      <w:r w:rsidRPr="00057CAF">
        <w:rPr>
          <w:lang w:val="fr-FR"/>
        </w:rPr>
        <w:t>effets sur les émissions mesurables à leur source</w:t>
      </w:r>
      <w:r w:rsidR="00C23BEB" w:rsidRPr="00057CAF">
        <w:rPr>
          <w:lang w:val="fr-FR"/>
        </w:rPr>
        <w:t>).</w:t>
      </w:r>
    </w:p>
    <w:p w:rsidR="00BC5BDB" w:rsidRPr="00057CAF" w:rsidRDefault="00BC5BDB" w:rsidP="00BC5BDB">
      <w:pPr>
        <w:spacing w:after="160"/>
        <w:rPr>
          <w:rFonts w:eastAsiaTheme="minorHAnsi" w:cstheme="minorBidi"/>
          <w:szCs w:val="22"/>
          <w:lang w:val="fr-FR"/>
        </w:rPr>
      </w:pPr>
      <w:r w:rsidRPr="00057CAF">
        <w:rPr>
          <w:rFonts w:eastAsiaTheme="minorHAnsi" w:cstheme="minorBidi"/>
          <w:szCs w:val="22"/>
          <w:lang w:val="fr-FR"/>
        </w:rPr>
        <w:t xml:space="preserve">C’est pourquoi l’option A (préférée par le help desk) est rarement appliquée et l’option B est la plus souvent choisie en complément de modèles éventuels. </w:t>
      </w:r>
    </w:p>
    <w:p w:rsidR="00BC5BDB" w:rsidRPr="00057CAF" w:rsidRDefault="00BC5BDB" w:rsidP="00BC5BDB">
      <w:pPr>
        <w:spacing w:after="160"/>
        <w:rPr>
          <w:rFonts w:eastAsiaTheme="minorHAnsi" w:cstheme="minorBidi"/>
          <w:szCs w:val="22"/>
          <w:lang w:val="fr-FR"/>
        </w:rPr>
      </w:pPr>
      <w:r w:rsidRPr="00057CAF">
        <w:rPr>
          <w:rFonts w:eastAsiaTheme="minorHAnsi" w:cstheme="minorBidi"/>
          <w:szCs w:val="22"/>
          <w:lang w:val="fr-FR"/>
        </w:rPr>
        <w:t>Le cadre suivant donne et commente le positionnement méthodologique propre aux divers indicateurs d’impact environnemental détaillés dans le guide préparatoire cité plus haut.</w:t>
      </w:r>
    </w:p>
    <w:tbl>
      <w:tblPr>
        <w:tblStyle w:val="Grilledutableau10"/>
        <w:tblW w:w="9067" w:type="dxa"/>
        <w:tblLook w:val="04A0" w:firstRow="1" w:lastRow="0" w:firstColumn="1" w:lastColumn="0" w:noHBand="0" w:noVBand="1"/>
      </w:tblPr>
      <w:tblGrid>
        <w:gridCol w:w="846"/>
        <w:gridCol w:w="5528"/>
        <w:gridCol w:w="2693"/>
      </w:tblGrid>
      <w:tr w:rsidR="00BC5BDB" w:rsidRPr="0050022D" w:rsidTr="0050022D">
        <w:tc>
          <w:tcPr>
            <w:tcW w:w="846" w:type="dxa"/>
            <w:shd w:val="clear" w:color="auto" w:fill="A50021"/>
          </w:tcPr>
          <w:p w:rsidR="00BC5BDB" w:rsidRPr="0050022D" w:rsidRDefault="00BC5BDB" w:rsidP="005610F4">
            <w:pPr>
              <w:rPr>
                <w:b/>
              </w:rPr>
            </w:pPr>
            <w:r w:rsidRPr="0050022D">
              <w:rPr>
                <w:b/>
              </w:rPr>
              <w:t>Code</w:t>
            </w:r>
          </w:p>
        </w:tc>
        <w:tc>
          <w:tcPr>
            <w:tcW w:w="5528" w:type="dxa"/>
            <w:shd w:val="clear" w:color="auto" w:fill="A50021"/>
          </w:tcPr>
          <w:p w:rsidR="00BC5BDB" w:rsidRPr="0050022D" w:rsidRDefault="00BC5BDB" w:rsidP="005610F4">
            <w:pPr>
              <w:rPr>
                <w:b/>
              </w:rPr>
            </w:pPr>
            <w:proofErr w:type="spellStart"/>
            <w:r w:rsidRPr="0050022D">
              <w:rPr>
                <w:b/>
              </w:rPr>
              <w:t>Indicateur</w:t>
            </w:r>
            <w:proofErr w:type="spellEnd"/>
            <w:r w:rsidRPr="0050022D">
              <w:rPr>
                <w:b/>
              </w:rPr>
              <w:t xml:space="preserve"> </w:t>
            </w:r>
          </w:p>
        </w:tc>
        <w:tc>
          <w:tcPr>
            <w:tcW w:w="2693" w:type="dxa"/>
            <w:shd w:val="clear" w:color="auto" w:fill="A50021"/>
          </w:tcPr>
          <w:p w:rsidR="00BC5BDB" w:rsidRPr="0050022D" w:rsidRDefault="00BC5BDB" w:rsidP="005610F4">
            <w:pPr>
              <w:rPr>
                <w:b/>
              </w:rPr>
            </w:pPr>
            <w:proofErr w:type="spellStart"/>
            <w:r w:rsidRPr="0050022D">
              <w:rPr>
                <w:b/>
              </w:rPr>
              <w:t>Référence</w:t>
            </w:r>
            <w:proofErr w:type="spellEnd"/>
            <w:r w:rsidRPr="0050022D">
              <w:rPr>
                <w:b/>
              </w:rPr>
              <w:t xml:space="preserve"> au </w:t>
            </w:r>
            <w:proofErr w:type="spellStart"/>
            <w:r w:rsidRPr="0050022D">
              <w:rPr>
                <w:b/>
              </w:rPr>
              <w:t>modèle</w:t>
            </w:r>
            <w:proofErr w:type="spellEnd"/>
            <w:r w:rsidRPr="0050022D">
              <w:rPr>
                <w:b/>
              </w:rPr>
              <w:t xml:space="preserve"> </w:t>
            </w:r>
            <w:proofErr w:type="spellStart"/>
            <w:r w:rsidRPr="0050022D">
              <w:rPr>
                <w:b/>
              </w:rPr>
              <w:t>logique</w:t>
            </w:r>
            <w:proofErr w:type="spellEnd"/>
          </w:p>
        </w:tc>
      </w:tr>
      <w:tr w:rsidR="00BC5BDB" w:rsidRPr="00146DB7" w:rsidTr="005610F4">
        <w:tc>
          <w:tcPr>
            <w:tcW w:w="846" w:type="dxa"/>
          </w:tcPr>
          <w:p w:rsidR="00BC5BDB" w:rsidRPr="00146DB7" w:rsidRDefault="00BC5BDB" w:rsidP="005610F4">
            <w:r w:rsidRPr="00146DB7">
              <w:t>I-07</w:t>
            </w:r>
          </w:p>
        </w:tc>
        <w:tc>
          <w:tcPr>
            <w:tcW w:w="5528" w:type="dxa"/>
          </w:tcPr>
          <w:p w:rsidR="00BC5BDB" w:rsidRPr="00146DB7" w:rsidRDefault="00BC5BDB" w:rsidP="005610F4">
            <w:r w:rsidRPr="00146DB7">
              <w:t xml:space="preserve">Emissions par </w:t>
            </w:r>
            <w:proofErr w:type="spellStart"/>
            <w:r w:rsidRPr="00146DB7">
              <w:t>l’agriculture</w:t>
            </w:r>
            <w:proofErr w:type="spellEnd"/>
          </w:p>
        </w:tc>
        <w:tc>
          <w:tcPr>
            <w:tcW w:w="2693" w:type="dxa"/>
          </w:tcPr>
          <w:p w:rsidR="00BC5BDB" w:rsidRPr="00146DB7" w:rsidRDefault="00BC5BDB" w:rsidP="005610F4">
            <w:r w:rsidRPr="00146DB7">
              <w:t>Page 45</w:t>
            </w:r>
          </w:p>
        </w:tc>
      </w:tr>
      <w:tr w:rsidR="00BC5BDB" w:rsidRPr="00E9242B" w:rsidTr="005610F4">
        <w:tc>
          <w:tcPr>
            <w:tcW w:w="9067" w:type="dxa"/>
            <w:gridSpan w:val="3"/>
          </w:tcPr>
          <w:p w:rsidR="00BC5BDB" w:rsidRPr="00057CAF" w:rsidRDefault="00BC5BDB" w:rsidP="005610F4">
            <w:pPr>
              <w:rPr>
                <w:lang w:val="fr-FR"/>
              </w:rPr>
            </w:pPr>
            <w:r w:rsidRPr="00057CAF">
              <w:rPr>
                <w:lang w:val="fr-FR"/>
              </w:rPr>
              <w:t xml:space="preserve">L’indicateur est composite, couvrant les gaz à effet de serre (total du méthane, du protoxyde d’azote et du gaz carbonique) et l’ammoniac. Il est lié aux « indicateurs de résultat complémentaires » R18 (réduction des émissions de méthane et de protoxyde d’azote) et R19 (réduction d’émissions d’ammoniac) mais il en est distinct sur deux plans : il implique une autre combinaison de gaz (I.07-1 reprend les gaz de R18 et le gaz carbonique) et il porte sur le niveau d’émission plutôt que sur le différentiel attribué au PDR. Toutefois c’est bien sur la base du différentiel que l’impact du PDR doit être évalué (selon notre compréhension) et c’est à cela que le modèle logique conduit. C’est pourquoi il est difficile de comprendre la logique du cadre méthodologique proposé : Pourquoi construire des indicateurs composites s’il faut les décomposer ? Pourquoi distinguer les indicateurs d’impact qui contrairement aux indicateurs de résultat n’indiquent pas l’impact attribuable au PDR ? Pourquoi présenter les indicateurs comme des outils d’évaluation alors qu’ils en sont plutôt des produits qui, à défaut de servir à l’évaluation, semblent se justifier par une volonté d’agrégation de données chiffrées à l’échelle européenne. </w:t>
            </w:r>
          </w:p>
          <w:p w:rsidR="00BC5BDB" w:rsidRPr="00057CAF" w:rsidRDefault="00BC5BDB" w:rsidP="005610F4">
            <w:pPr>
              <w:rPr>
                <w:lang w:val="fr-FR"/>
              </w:rPr>
            </w:pPr>
            <w:r w:rsidRPr="00057CAF">
              <w:rPr>
                <w:lang w:val="fr-FR"/>
              </w:rPr>
              <w:t>L’option A (approches économétriques) n’est pas suivie pour les raisons indiquées en introduction (manque de données, manque d’information sur les déterminants des contrats, importance des effets non intentionnels indirects). L’approche choisie pour le PDR wallon est systémique, semi-qualitative, fondée notamment sur l’analyse du cycle de l’azote. Elle combine des éléments de la MAPP et de modélisation (cycle de l’azote, schématisation des liens de causalité).</w:t>
            </w:r>
          </w:p>
        </w:tc>
      </w:tr>
      <w:tr w:rsidR="00BC5BDB" w:rsidRPr="00146DB7" w:rsidTr="005610F4">
        <w:tc>
          <w:tcPr>
            <w:tcW w:w="846" w:type="dxa"/>
          </w:tcPr>
          <w:p w:rsidR="00BC5BDB" w:rsidRPr="00146DB7" w:rsidRDefault="00BC5BDB" w:rsidP="005610F4">
            <w:r w:rsidRPr="00146DB7">
              <w:t>I-07-1</w:t>
            </w:r>
          </w:p>
        </w:tc>
        <w:tc>
          <w:tcPr>
            <w:tcW w:w="5528" w:type="dxa"/>
          </w:tcPr>
          <w:p w:rsidR="00BC5BDB" w:rsidRPr="00057CAF" w:rsidRDefault="00BC5BDB" w:rsidP="005610F4">
            <w:pPr>
              <w:rPr>
                <w:lang w:val="fr-FR"/>
              </w:rPr>
            </w:pPr>
            <w:r w:rsidRPr="00057CAF">
              <w:rPr>
                <w:lang w:val="fr-FR"/>
              </w:rPr>
              <w:t>Emissions de gaz à effet de serre</w:t>
            </w:r>
          </w:p>
        </w:tc>
        <w:tc>
          <w:tcPr>
            <w:tcW w:w="2693" w:type="dxa"/>
          </w:tcPr>
          <w:p w:rsidR="00BC5BDB" w:rsidRPr="00146DB7" w:rsidRDefault="00BC5BDB" w:rsidP="005610F4">
            <w:r w:rsidRPr="00146DB7">
              <w:t>Page 45</w:t>
            </w:r>
          </w:p>
        </w:tc>
      </w:tr>
      <w:tr w:rsidR="00BC5BDB" w:rsidRPr="00E9242B" w:rsidTr="005610F4">
        <w:tc>
          <w:tcPr>
            <w:tcW w:w="9067" w:type="dxa"/>
            <w:gridSpan w:val="3"/>
          </w:tcPr>
          <w:p w:rsidR="00BC5BDB" w:rsidRPr="00057CAF" w:rsidRDefault="00BC5BDB" w:rsidP="005610F4">
            <w:pPr>
              <w:rPr>
                <w:lang w:val="fr-FR"/>
              </w:rPr>
            </w:pPr>
            <w:r w:rsidRPr="00057CAF">
              <w:rPr>
                <w:lang w:val="fr-FR"/>
              </w:rPr>
              <w:t>Le guide néglige les émissions liées à l’usage de carburants car elles sont attribuées au secteur de l’énergie. Il s’agit là d’une convention des systèmes de mesure des émissions de gaz à effet de serre, qui tend malheureusement à négliger une contribution non négligeable de l’agriculture. Nous estimons que pour répondre correctement à la question posée, ces émissions sont à considérer quand bien même l’effet du PDR les concernant n’est pas quantifiable.</w:t>
            </w:r>
          </w:p>
        </w:tc>
      </w:tr>
      <w:tr w:rsidR="00BC5BDB" w:rsidRPr="00146DB7" w:rsidTr="005610F4">
        <w:tc>
          <w:tcPr>
            <w:tcW w:w="846" w:type="dxa"/>
          </w:tcPr>
          <w:p w:rsidR="00BC5BDB" w:rsidRPr="00146DB7" w:rsidRDefault="00BC5BDB" w:rsidP="005610F4">
            <w:r w:rsidRPr="00146DB7">
              <w:lastRenderedPageBreak/>
              <w:t>I-07-2</w:t>
            </w:r>
          </w:p>
        </w:tc>
        <w:tc>
          <w:tcPr>
            <w:tcW w:w="5528" w:type="dxa"/>
          </w:tcPr>
          <w:p w:rsidR="00BC5BDB" w:rsidRPr="00146DB7" w:rsidRDefault="00BC5BDB" w:rsidP="005610F4">
            <w:r w:rsidRPr="00146DB7">
              <w:t xml:space="preserve">Emissions </w:t>
            </w:r>
            <w:proofErr w:type="spellStart"/>
            <w:r w:rsidRPr="00146DB7">
              <w:t>d’ammoniac</w:t>
            </w:r>
            <w:proofErr w:type="spellEnd"/>
          </w:p>
        </w:tc>
        <w:tc>
          <w:tcPr>
            <w:tcW w:w="2693" w:type="dxa"/>
          </w:tcPr>
          <w:p w:rsidR="00BC5BDB" w:rsidRPr="00146DB7" w:rsidRDefault="00BC5BDB" w:rsidP="005610F4">
            <w:r w:rsidRPr="00146DB7">
              <w:t>Page 45</w:t>
            </w:r>
          </w:p>
        </w:tc>
      </w:tr>
      <w:tr w:rsidR="00BC5BDB" w:rsidRPr="00E9242B" w:rsidTr="005610F4">
        <w:tc>
          <w:tcPr>
            <w:tcW w:w="9067" w:type="dxa"/>
            <w:gridSpan w:val="3"/>
          </w:tcPr>
          <w:p w:rsidR="00BC5BDB" w:rsidRPr="00057CAF" w:rsidRDefault="00BC5BDB" w:rsidP="000907E4">
            <w:pPr>
              <w:rPr>
                <w:lang w:val="fr-FR"/>
              </w:rPr>
            </w:pPr>
            <w:r w:rsidRPr="00057CAF">
              <w:rPr>
                <w:lang w:val="fr-FR"/>
              </w:rPr>
              <w:t>L</w:t>
            </w:r>
            <w:r w:rsidR="000907E4" w:rsidRPr="00057CAF">
              <w:rPr>
                <w:lang w:val="fr-FR"/>
              </w:rPr>
              <w:t>’</w:t>
            </w:r>
            <w:r w:rsidRPr="00057CAF">
              <w:rPr>
                <w:lang w:val="fr-FR"/>
              </w:rPr>
              <w:t xml:space="preserve">option A </w:t>
            </w:r>
            <w:r w:rsidR="000907E4" w:rsidRPr="00057CAF">
              <w:rPr>
                <w:lang w:val="fr-FR"/>
              </w:rPr>
              <w:t xml:space="preserve">n’a pas été retenue parce que </w:t>
            </w:r>
            <w:r w:rsidRPr="00057CAF">
              <w:rPr>
                <w:lang w:val="fr-FR"/>
              </w:rPr>
              <w:t xml:space="preserve">les dépenses dont le lien avec ces émissions </w:t>
            </w:r>
            <w:r w:rsidR="000907E4" w:rsidRPr="00057CAF">
              <w:rPr>
                <w:lang w:val="fr-FR"/>
              </w:rPr>
              <w:t xml:space="preserve">est le </w:t>
            </w:r>
            <w:r w:rsidRPr="00057CAF">
              <w:rPr>
                <w:lang w:val="fr-FR"/>
              </w:rPr>
              <w:t>plus direct sont très limitées, non liées à une réelle intentionnalité en ce sens et d’impact incertain (il s’agit de l’achat de matériel d’épandage de lisier, effectué dans le cadre de M4.1, dont il est incertain -et coûteux à démontrer- qu’il remplace un matériel plus polluant).</w:t>
            </w:r>
          </w:p>
          <w:p w:rsidR="000907E4" w:rsidRPr="00057CAF" w:rsidRDefault="000907E4" w:rsidP="00754C68">
            <w:pPr>
              <w:rPr>
                <w:lang w:val="fr-FR"/>
              </w:rPr>
            </w:pPr>
            <w:r w:rsidRPr="00057CAF">
              <w:rPr>
                <w:lang w:val="fr-FR"/>
              </w:rPr>
              <w:t xml:space="preserve">Les émissions d’ammoniac sont très tributaires de l’impact du PDR sur le cheptel total, qui n’est pas un impact intentionnel et résulte de l’effet combiné de plusieurs mesures. Il est possible d’estimer un ordre de grandeur de l’effet d’une partie des mesures du PDR sous réserve que certaines hypothèses soient réunies. </w:t>
            </w:r>
            <w:r w:rsidR="00FA0575" w:rsidRPr="00057CAF">
              <w:rPr>
                <w:lang w:val="fr-FR"/>
              </w:rPr>
              <w:t xml:space="preserve">Cependant, il ne s’avère pas possible de trouver des preuves solides de la réalisation de ces hypothèses et l’effet des autres mesures reste non quantifié. Ainsi </w:t>
            </w:r>
            <w:r w:rsidR="00754C68" w:rsidRPr="00057CAF">
              <w:rPr>
                <w:lang w:val="fr-FR"/>
              </w:rPr>
              <w:t>l’</w:t>
            </w:r>
            <w:r w:rsidRPr="00057CAF">
              <w:rPr>
                <w:lang w:val="fr-FR"/>
              </w:rPr>
              <w:t xml:space="preserve">effet total </w:t>
            </w:r>
            <w:r w:rsidR="00FA0575" w:rsidRPr="00057CAF">
              <w:rPr>
                <w:lang w:val="fr-FR"/>
              </w:rPr>
              <w:t xml:space="preserve">net </w:t>
            </w:r>
            <w:r w:rsidRPr="00057CAF">
              <w:rPr>
                <w:lang w:val="fr-FR"/>
              </w:rPr>
              <w:t>rest</w:t>
            </w:r>
            <w:r w:rsidR="00FA0575" w:rsidRPr="00057CAF">
              <w:rPr>
                <w:lang w:val="fr-FR"/>
              </w:rPr>
              <w:t xml:space="preserve">ant </w:t>
            </w:r>
            <w:r w:rsidRPr="00057CAF">
              <w:rPr>
                <w:lang w:val="fr-FR"/>
              </w:rPr>
              <w:t xml:space="preserve">inconnu dans la mesure où il </w:t>
            </w:r>
            <w:r w:rsidR="00754C68" w:rsidRPr="00057CAF">
              <w:rPr>
                <w:lang w:val="fr-FR"/>
              </w:rPr>
              <w:t xml:space="preserve">présente par rapport à une </w:t>
            </w:r>
            <w:r w:rsidR="00FA0575" w:rsidRPr="00057CAF">
              <w:rPr>
                <w:lang w:val="fr-FR"/>
              </w:rPr>
              <w:t xml:space="preserve">valeur </w:t>
            </w:r>
            <w:r w:rsidR="00754C68" w:rsidRPr="00057CAF">
              <w:rPr>
                <w:lang w:val="fr-FR"/>
              </w:rPr>
              <w:t>approximativement estimée d’</w:t>
            </w:r>
            <w:r w:rsidRPr="00057CAF">
              <w:rPr>
                <w:lang w:val="fr-FR"/>
              </w:rPr>
              <w:t xml:space="preserve">une grandeur indéterminée. </w:t>
            </w:r>
          </w:p>
        </w:tc>
      </w:tr>
      <w:tr w:rsidR="00BC5BDB" w:rsidRPr="00146DB7" w:rsidTr="005610F4">
        <w:tc>
          <w:tcPr>
            <w:tcW w:w="846" w:type="dxa"/>
          </w:tcPr>
          <w:p w:rsidR="00BC5BDB" w:rsidRPr="00146DB7" w:rsidRDefault="00BC5BDB" w:rsidP="005610F4">
            <w:r w:rsidRPr="00146DB7">
              <w:t>I-08</w:t>
            </w:r>
          </w:p>
        </w:tc>
        <w:tc>
          <w:tcPr>
            <w:tcW w:w="5528" w:type="dxa"/>
          </w:tcPr>
          <w:p w:rsidR="00BC5BDB" w:rsidRPr="00146DB7" w:rsidRDefault="00BC5BDB" w:rsidP="005610F4">
            <w:r w:rsidRPr="00146DB7">
              <w:t>FBI (Farmland Bird Index)</w:t>
            </w:r>
          </w:p>
        </w:tc>
        <w:tc>
          <w:tcPr>
            <w:tcW w:w="2693" w:type="dxa"/>
          </w:tcPr>
          <w:p w:rsidR="00BC5BDB" w:rsidRPr="00146DB7" w:rsidRDefault="00BC5BDB" w:rsidP="005610F4">
            <w:r w:rsidRPr="00146DB7">
              <w:t>Page 50</w:t>
            </w:r>
          </w:p>
        </w:tc>
      </w:tr>
      <w:tr w:rsidR="00BC5BDB" w:rsidRPr="00E9242B" w:rsidTr="005610F4">
        <w:tc>
          <w:tcPr>
            <w:tcW w:w="9067" w:type="dxa"/>
            <w:gridSpan w:val="3"/>
          </w:tcPr>
          <w:p w:rsidR="00BC5BDB" w:rsidRPr="00057CAF" w:rsidRDefault="00BC5BDB" w:rsidP="00754C68">
            <w:pPr>
              <w:rPr>
                <w:lang w:val="fr-FR"/>
              </w:rPr>
            </w:pPr>
            <w:r w:rsidRPr="00057CAF">
              <w:rPr>
                <w:lang w:val="fr-FR"/>
              </w:rPr>
              <w:t xml:space="preserve">Le modèle logique proposé est commun au FBI (I.08) et à l’agriculture HVN (I.09) en dépit de différences importantes entre l’échelle de perception (unité) où les deux indicateurs peuvent s’appréhender. L’étude du FBI fait l’objet en Wallonie d’une convention particulière avec Natagora-Aves, qui cherche en particulier à mettre en évidence les effets de M10 (plutôt que du PDR dans sa globalité). Le FBI se construit en Wallonie en utilisant des points d’écoute de 5 minutes qui n’ont pas de valeur individuelle et concernent chacun une surface </w:t>
            </w:r>
            <w:r w:rsidR="00526EEC" w:rsidRPr="00057CAF">
              <w:rPr>
                <w:lang w:val="fr-FR"/>
              </w:rPr>
              <w:t xml:space="preserve">indéterminée </w:t>
            </w:r>
            <w:r w:rsidRPr="00057CAF">
              <w:rPr>
                <w:lang w:val="fr-FR"/>
              </w:rPr>
              <w:t>de plusieurs hectares, à cheval sur plusieurs parcelles et souvent plusieurs exploitations. De ce fait, il n’est pas rigoureusement répondu oui à la première question du modèle logique, demandant si les données permettent de construire des groupes pour une comparaison entre bénéficiaires et non bénéficiaires. Certaines comparaison</w:t>
            </w:r>
            <w:r w:rsidR="000907E4" w:rsidRPr="00057CAF">
              <w:rPr>
                <w:lang w:val="fr-FR"/>
              </w:rPr>
              <w:t xml:space="preserve">s selon la densité des mesures </w:t>
            </w:r>
            <w:r w:rsidRPr="00057CAF">
              <w:rPr>
                <w:lang w:val="fr-FR"/>
              </w:rPr>
              <w:t xml:space="preserve">ont néanmoins </w:t>
            </w:r>
            <w:r w:rsidR="000907E4" w:rsidRPr="00057CAF">
              <w:rPr>
                <w:lang w:val="fr-FR"/>
              </w:rPr>
              <w:t xml:space="preserve">été </w:t>
            </w:r>
            <w:r w:rsidRPr="00057CAF">
              <w:rPr>
                <w:lang w:val="fr-FR"/>
              </w:rPr>
              <w:t xml:space="preserve">possibles, donnant également lieu à des approches par double différence et PSM (option A). L’option B est utilisée complémentairement avec </w:t>
            </w:r>
            <w:r w:rsidR="00FA0575" w:rsidRPr="00057CAF">
              <w:rPr>
                <w:lang w:val="fr-FR"/>
              </w:rPr>
              <w:t xml:space="preserve">une </w:t>
            </w:r>
            <w:r w:rsidRPr="00057CAF">
              <w:rPr>
                <w:lang w:val="fr-FR"/>
              </w:rPr>
              <w:t xml:space="preserve">combinaison d’analyses qualitatives, de comparaisons « naïves » et de comparaisons ad hoc. </w:t>
            </w:r>
          </w:p>
        </w:tc>
      </w:tr>
      <w:tr w:rsidR="00BC5BDB" w:rsidRPr="00146DB7" w:rsidTr="005610F4">
        <w:tc>
          <w:tcPr>
            <w:tcW w:w="846" w:type="dxa"/>
          </w:tcPr>
          <w:p w:rsidR="00BC5BDB" w:rsidRPr="00146DB7" w:rsidRDefault="00BC5BDB" w:rsidP="005610F4">
            <w:r w:rsidRPr="00146DB7">
              <w:t>I.09</w:t>
            </w:r>
          </w:p>
        </w:tc>
        <w:tc>
          <w:tcPr>
            <w:tcW w:w="5528" w:type="dxa"/>
          </w:tcPr>
          <w:p w:rsidR="00BC5BDB" w:rsidRPr="00057CAF" w:rsidRDefault="00BC5BDB" w:rsidP="005610F4">
            <w:pPr>
              <w:rPr>
                <w:lang w:val="fr-FR"/>
              </w:rPr>
            </w:pPr>
            <w:r w:rsidRPr="00057CAF">
              <w:rPr>
                <w:lang w:val="fr-FR"/>
              </w:rPr>
              <w:t>Agriculture de Haute Valeur Naturelle (HVN)</w:t>
            </w:r>
          </w:p>
        </w:tc>
        <w:tc>
          <w:tcPr>
            <w:tcW w:w="2693" w:type="dxa"/>
          </w:tcPr>
          <w:p w:rsidR="00BC5BDB" w:rsidRPr="00146DB7" w:rsidRDefault="00BC5BDB" w:rsidP="005610F4">
            <w:r w:rsidRPr="00146DB7">
              <w:t>Page 50</w:t>
            </w:r>
          </w:p>
        </w:tc>
      </w:tr>
      <w:tr w:rsidR="00BC5BDB" w:rsidRPr="00E9242B" w:rsidTr="005610F4">
        <w:tc>
          <w:tcPr>
            <w:tcW w:w="9067" w:type="dxa"/>
            <w:gridSpan w:val="3"/>
          </w:tcPr>
          <w:p w:rsidR="00BC5BDB" w:rsidRPr="00057CAF" w:rsidRDefault="00BC5BDB" w:rsidP="005610F4">
            <w:pPr>
              <w:spacing w:line="259" w:lineRule="auto"/>
              <w:jc w:val="left"/>
              <w:rPr>
                <w:lang w:val="fr-FR"/>
              </w:rPr>
            </w:pPr>
            <w:r w:rsidRPr="00057CAF">
              <w:rPr>
                <w:lang w:val="fr-FR"/>
              </w:rPr>
              <w:t>La mesure qui y contribue de manière la plus claire et la plus directe à l’agriculture HVN est M10 à travers la MAEC MC4, prairies de haute valeur biologique</w:t>
            </w:r>
            <w:r w:rsidRPr="00146DB7">
              <w:rPr>
                <w:vertAlign w:val="superscript"/>
              </w:rPr>
              <w:footnoteReference w:id="2"/>
            </w:r>
            <w:r w:rsidRPr="00057CAF">
              <w:rPr>
                <w:lang w:val="fr-FR"/>
              </w:rPr>
              <w:t xml:space="preserve">, qui entretient ou renforce la « valeur naturelle » des prairies qui y sont soumises. L’efficacité de MC4 a été démontrée par des approches de type PSM avec double différence, le témoin « contrefactuel » étant essentiellement représenté par les prairies qui, non soumises à MC4, tendent généralement à perdre leur valeur naturelle. L’approche est donc apparentée à l’option optimale recommandée. Néanmoins </w:t>
            </w:r>
            <w:r w:rsidR="00754C68" w:rsidRPr="00057CAF">
              <w:rPr>
                <w:lang w:val="fr-FR"/>
              </w:rPr>
              <w:t xml:space="preserve">la </w:t>
            </w:r>
            <w:r w:rsidRPr="00057CAF">
              <w:rPr>
                <w:lang w:val="fr-FR"/>
              </w:rPr>
              <w:t>dissymétrie dans les connaissances relatives aux groupes comparés (prairies soumises à MC4 et prairies équivalentes non soumises à MC4), avec une tendance à l’absorption du second groupe par le premier au cours du progrès des connaissances, affaiblit l’analyse contrefactuelle.</w:t>
            </w:r>
          </w:p>
          <w:p w:rsidR="00BC5BDB" w:rsidRPr="00057CAF" w:rsidRDefault="00BC5BDB" w:rsidP="00754C68">
            <w:pPr>
              <w:rPr>
                <w:lang w:val="fr-FR"/>
              </w:rPr>
            </w:pPr>
            <w:r w:rsidRPr="00057CAF">
              <w:rPr>
                <w:lang w:val="fr-FR"/>
              </w:rPr>
              <w:t>L</w:t>
            </w:r>
            <w:r w:rsidR="00754C68" w:rsidRPr="00057CAF">
              <w:rPr>
                <w:lang w:val="fr-FR"/>
              </w:rPr>
              <w:t>’analyse est handicapée par le</w:t>
            </w:r>
            <w:r w:rsidRPr="00057CAF">
              <w:rPr>
                <w:lang w:val="fr-FR"/>
              </w:rPr>
              <w:t xml:space="preserve"> manque de connaissance sur les prairies de haute valeur biologique non soumises à MC4 et d</w:t>
            </w:r>
            <w:r w:rsidR="00754C68" w:rsidRPr="00057CAF">
              <w:rPr>
                <w:lang w:val="fr-FR"/>
              </w:rPr>
              <w:t>e</w:t>
            </w:r>
            <w:r w:rsidRPr="00057CAF">
              <w:rPr>
                <w:lang w:val="fr-FR"/>
              </w:rPr>
              <w:t xml:space="preserve"> seuil clair de « haute valeur naturelle ». Les prairies éligibles à MC4 sont ou bien considérées de haute valeur biologique dès le départ ou bien considérées comme ayant le potentiel de la devenir, moyennant mise en œuvre de MC4. Compte tenu de la croissance continue de cette MAEC en dépit du déclin manifeste des prairies éligibles à la mesure, il est </w:t>
            </w:r>
            <w:r w:rsidR="00754C68" w:rsidRPr="00057CAF">
              <w:rPr>
                <w:lang w:val="fr-FR"/>
              </w:rPr>
              <w:t xml:space="preserve">possible </w:t>
            </w:r>
            <w:r w:rsidRPr="00057CAF">
              <w:rPr>
                <w:lang w:val="fr-FR"/>
              </w:rPr>
              <w:t>qu’au fil du temps la valeur biologique moyenne des nouvelles prairies rentrant sous le régime de la MC4 diminue.</w:t>
            </w:r>
          </w:p>
        </w:tc>
      </w:tr>
      <w:tr w:rsidR="00BC5BDB" w:rsidRPr="00146DB7" w:rsidTr="005610F4">
        <w:tc>
          <w:tcPr>
            <w:tcW w:w="846" w:type="dxa"/>
          </w:tcPr>
          <w:p w:rsidR="00BC5BDB" w:rsidRPr="00146DB7" w:rsidRDefault="00BC5BDB" w:rsidP="005610F4">
            <w:r w:rsidRPr="00146DB7">
              <w:t>I.10.</w:t>
            </w:r>
          </w:p>
        </w:tc>
        <w:tc>
          <w:tcPr>
            <w:tcW w:w="5528" w:type="dxa"/>
          </w:tcPr>
          <w:p w:rsidR="00BC5BDB" w:rsidRPr="00146DB7" w:rsidRDefault="00BC5BDB" w:rsidP="005610F4">
            <w:r w:rsidRPr="00146DB7">
              <w:t xml:space="preserve">Extraction </w:t>
            </w:r>
            <w:proofErr w:type="spellStart"/>
            <w:r w:rsidRPr="00146DB7">
              <w:t>d’eau</w:t>
            </w:r>
            <w:proofErr w:type="spellEnd"/>
            <w:r w:rsidRPr="00146DB7">
              <w:t xml:space="preserve"> par </w:t>
            </w:r>
            <w:proofErr w:type="spellStart"/>
            <w:r w:rsidRPr="00146DB7">
              <w:t>l’agriculture</w:t>
            </w:r>
            <w:proofErr w:type="spellEnd"/>
          </w:p>
        </w:tc>
        <w:tc>
          <w:tcPr>
            <w:tcW w:w="2693" w:type="dxa"/>
          </w:tcPr>
          <w:p w:rsidR="00BC5BDB" w:rsidRPr="00146DB7" w:rsidRDefault="00BC5BDB" w:rsidP="005610F4">
            <w:r w:rsidRPr="00146DB7">
              <w:t>Page 56</w:t>
            </w:r>
          </w:p>
        </w:tc>
      </w:tr>
      <w:tr w:rsidR="00BC5BDB" w:rsidRPr="00E9242B" w:rsidTr="005610F4">
        <w:tc>
          <w:tcPr>
            <w:tcW w:w="9067" w:type="dxa"/>
            <w:gridSpan w:val="3"/>
          </w:tcPr>
          <w:p w:rsidR="00BC5BDB" w:rsidRPr="00057CAF" w:rsidRDefault="00BC5BDB" w:rsidP="00277DFF">
            <w:pPr>
              <w:spacing w:line="259" w:lineRule="auto"/>
              <w:jc w:val="left"/>
              <w:rPr>
                <w:lang w:val="fr-FR"/>
              </w:rPr>
            </w:pPr>
            <w:r w:rsidRPr="00057CAF">
              <w:rPr>
                <w:lang w:val="fr-FR"/>
              </w:rPr>
              <w:t xml:space="preserve">L’irrigation ne fait pas </w:t>
            </w:r>
            <w:r w:rsidRPr="00057CAF">
              <w:rPr>
                <w:highlight w:val="yellow"/>
                <w:lang w:val="fr-FR"/>
              </w:rPr>
              <w:t>l’objet de mesures du PDR wallon</w:t>
            </w:r>
            <w:r w:rsidR="00277DFF" w:rsidRPr="00057CAF">
              <w:rPr>
                <w:highlight w:val="yellow"/>
                <w:lang w:val="fr-FR"/>
              </w:rPr>
              <w:t xml:space="preserve">. </w:t>
            </w:r>
            <w:r w:rsidRPr="00057CAF">
              <w:rPr>
                <w:highlight w:val="yellow"/>
                <w:lang w:val="fr-FR"/>
              </w:rPr>
              <w:t>Aucune question</w:t>
            </w:r>
            <w:r w:rsidRPr="00057CAF">
              <w:rPr>
                <w:lang w:val="fr-FR"/>
              </w:rPr>
              <w:t xml:space="preserve"> d’évaluation en lien avec cet indicateur n’est traitée.</w:t>
            </w:r>
          </w:p>
        </w:tc>
      </w:tr>
      <w:tr w:rsidR="00BC5BDB" w:rsidRPr="00146DB7" w:rsidTr="005610F4">
        <w:tc>
          <w:tcPr>
            <w:tcW w:w="846" w:type="dxa"/>
          </w:tcPr>
          <w:p w:rsidR="00BC5BDB" w:rsidRPr="00146DB7" w:rsidRDefault="00BC5BDB" w:rsidP="005610F4">
            <w:r w:rsidRPr="00146DB7">
              <w:lastRenderedPageBreak/>
              <w:t>I.11.</w:t>
            </w:r>
          </w:p>
        </w:tc>
        <w:tc>
          <w:tcPr>
            <w:tcW w:w="5528" w:type="dxa"/>
          </w:tcPr>
          <w:p w:rsidR="00BC5BDB" w:rsidRPr="00146DB7" w:rsidRDefault="00BC5BDB" w:rsidP="005610F4">
            <w:proofErr w:type="spellStart"/>
            <w:r w:rsidRPr="00146DB7">
              <w:t>Qualité</w:t>
            </w:r>
            <w:proofErr w:type="spellEnd"/>
            <w:r w:rsidRPr="00146DB7">
              <w:t xml:space="preserve"> de </w:t>
            </w:r>
            <w:proofErr w:type="spellStart"/>
            <w:r w:rsidRPr="00146DB7">
              <w:t>l’eau</w:t>
            </w:r>
            <w:proofErr w:type="spellEnd"/>
          </w:p>
        </w:tc>
        <w:tc>
          <w:tcPr>
            <w:tcW w:w="2693" w:type="dxa"/>
          </w:tcPr>
          <w:p w:rsidR="00BC5BDB" w:rsidRPr="00146DB7" w:rsidRDefault="00BC5BDB" w:rsidP="005610F4">
            <w:r w:rsidRPr="00146DB7">
              <w:t>Page 56</w:t>
            </w:r>
          </w:p>
        </w:tc>
      </w:tr>
      <w:tr w:rsidR="00BC5BDB" w:rsidRPr="00E9242B" w:rsidTr="005610F4">
        <w:tc>
          <w:tcPr>
            <w:tcW w:w="9067" w:type="dxa"/>
            <w:gridSpan w:val="3"/>
          </w:tcPr>
          <w:p w:rsidR="00BC5BDB" w:rsidRPr="00057CAF" w:rsidRDefault="00BC5BDB" w:rsidP="005B2818">
            <w:pPr>
              <w:rPr>
                <w:lang w:val="fr-FR"/>
              </w:rPr>
            </w:pPr>
            <w:r w:rsidRPr="00057CAF">
              <w:rPr>
                <w:lang w:val="fr-FR"/>
              </w:rPr>
              <w:t xml:space="preserve">Les recherches menées par A. </w:t>
            </w:r>
            <w:proofErr w:type="spellStart"/>
            <w:r w:rsidRPr="00057CAF">
              <w:rPr>
                <w:lang w:val="fr-FR"/>
              </w:rPr>
              <w:t>Chartin</w:t>
            </w:r>
            <w:proofErr w:type="spellEnd"/>
            <w:r w:rsidRPr="00057CAF">
              <w:rPr>
                <w:lang w:val="fr-FR"/>
              </w:rPr>
              <w:t xml:space="preserve"> lors de l’évaluation du PDR antérieur montrent que la comparaison de groupes n’est pas possible (il n’a notamment pas été possible de trouver des paires de masses d’eau comparables mais se distinguant par le niveau de mise en œuvre des mesures du PDR). L’approche utilisée </w:t>
            </w:r>
            <w:r w:rsidR="000907E4" w:rsidRPr="00057CAF">
              <w:rPr>
                <w:lang w:val="fr-FR"/>
              </w:rPr>
              <w:t>tient compte d’</w:t>
            </w:r>
            <w:r w:rsidR="005B2818" w:rsidRPr="00057CAF">
              <w:rPr>
                <w:lang w:val="fr-FR"/>
              </w:rPr>
              <w:t>i</w:t>
            </w:r>
            <w:r w:rsidRPr="00057CAF">
              <w:rPr>
                <w:lang w:val="fr-FR"/>
              </w:rPr>
              <w:t>nformations produites par des modèles existants (</w:t>
            </w:r>
            <w:proofErr w:type="spellStart"/>
            <w:r w:rsidRPr="00057CAF">
              <w:rPr>
                <w:lang w:val="fr-FR"/>
              </w:rPr>
              <w:t>EpicGrid</w:t>
            </w:r>
            <w:proofErr w:type="spellEnd"/>
            <w:r w:rsidRPr="00057CAF">
              <w:rPr>
                <w:lang w:val="fr-FR"/>
              </w:rPr>
              <w:t>), développés par la recherche universitaire (</w:t>
            </w:r>
            <w:proofErr w:type="spellStart"/>
            <w:r w:rsidRPr="00057CAF">
              <w:rPr>
                <w:lang w:val="fr-FR"/>
              </w:rPr>
              <w:t>Gx</w:t>
            </w:r>
            <w:proofErr w:type="spellEnd"/>
            <w:r w:rsidRPr="00057CAF">
              <w:rPr>
                <w:lang w:val="fr-FR"/>
              </w:rPr>
              <w:t xml:space="preserve"> ABT – Université de Liège), et </w:t>
            </w:r>
            <w:r w:rsidR="005B2818" w:rsidRPr="00057CAF">
              <w:rPr>
                <w:lang w:val="fr-FR"/>
              </w:rPr>
              <w:t xml:space="preserve">reprises notamment dans les rapports sur l’état de l’environnement wallon. Elle repose en outre sur des </w:t>
            </w:r>
            <w:r w:rsidRPr="00057CAF">
              <w:rPr>
                <w:lang w:val="fr-FR"/>
              </w:rPr>
              <w:t xml:space="preserve">formes de modélisation supplémentaires (analyse du cycle de l’azote, représentation des liens logiques de causalité) et </w:t>
            </w:r>
            <w:r w:rsidR="005B2818" w:rsidRPr="00057CAF">
              <w:rPr>
                <w:lang w:val="fr-FR"/>
              </w:rPr>
              <w:t>l’</w:t>
            </w:r>
            <w:r w:rsidRPr="00057CAF">
              <w:rPr>
                <w:lang w:val="fr-FR"/>
              </w:rPr>
              <w:t xml:space="preserve">analyse qualitative.  </w:t>
            </w:r>
          </w:p>
        </w:tc>
      </w:tr>
      <w:tr w:rsidR="00BC5BDB" w:rsidRPr="00146DB7" w:rsidTr="005610F4">
        <w:tc>
          <w:tcPr>
            <w:tcW w:w="846" w:type="dxa"/>
          </w:tcPr>
          <w:p w:rsidR="00BC5BDB" w:rsidRPr="00146DB7" w:rsidRDefault="00BC5BDB" w:rsidP="005610F4">
            <w:r w:rsidRPr="00146DB7">
              <w:t>I.12.</w:t>
            </w:r>
          </w:p>
        </w:tc>
        <w:tc>
          <w:tcPr>
            <w:tcW w:w="5528" w:type="dxa"/>
          </w:tcPr>
          <w:p w:rsidR="00BC5BDB" w:rsidRPr="00057CAF" w:rsidRDefault="00BC5BDB" w:rsidP="005610F4">
            <w:pPr>
              <w:rPr>
                <w:lang w:val="fr-FR"/>
              </w:rPr>
            </w:pPr>
            <w:r w:rsidRPr="00057CAF">
              <w:rPr>
                <w:lang w:val="fr-FR"/>
              </w:rPr>
              <w:t>Matière organique des terres arables</w:t>
            </w:r>
          </w:p>
        </w:tc>
        <w:tc>
          <w:tcPr>
            <w:tcW w:w="2693" w:type="dxa"/>
          </w:tcPr>
          <w:p w:rsidR="00BC5BDB" w:rsidRPr="00146DB7" w:rsidRDefault="00BC5BDB" w:rsidP="005610F4">
            <w:r w:rsidRPr="00146DB7">
              <w:t>Page 66</w:t>
            </w:r>
          </w:p>
        </w:tc>
      </w:tr>
      <w:tr w:rsidR="00BC5BDB" w:rsidRPr="00E9242B" w:rsidTr="005610F4">
        <w:tc>
          <w:tcPr>
            <w:tcW w:w="9067" w:type="dxa"/>
            <w:gridSpan w:val="3"/>
          </w:tcPr>
          <w:p w:rsidR="00BC5BDB" w:rsidRPr="00057CAF" w:rsidRDefault="00BC5BDB" w:rsidP="005B2818">
            <w:pPr>
              <w:rPr>
                <w:lang w:val="fr-FR"/>
              </w:rPr>
            </w:pPr>
            <w:r w:rsidRPr="00057CAF">
              <w:rPr>
                <w:lang w:val="fr-FR"/>
              </w:rPr>
              <w:t xml:space="preserve">Nous n’avons pas d’information quantifiée sur cet indicateur pour la période couverte par l’évaluation.  Le PDR wallon est peu orienté sur cette préoccupation, bien que certaines mesures (M11 par exemple) y contribuent. Sur ces bases, l’option B se justifie dans sa variante « minimum </w:t>
            </w:r>
            <w:proofErr w:type="spellStart"/>
            <w:r w:rsidRPr="00057CAF">
              <w:rPr>
                <w:lang w:val="fr-FR"/>
              </w:rPr>
              <w:t>level</w:t>
            </w:r>
            <w:proofErr w:type="spellEnd"/>
            <w:r w:rsidRPr="00057CAF">
              <w:rPr>
                <w:lang w:val="fr-FR"/>
              </w:rPr>
              <w:t xml:space="preserve"> SOM </w:t>
            </w:r>
            <w:proofErr w:type="spellStart"/>
            <w:r w:rsidRPr="00057CAF">
              <w:rPr>
                <w:lang w:val="fr-FR"/>
              </w:rPr>
              <w:t>assessment</w:t>
            </w:r>
            <w:proofErr w:type="spellEnd"/>
            <w:r w:rsidRPr="00057CAF">
              <w:rPr>
                <w:lang w:val="fr-FR"/>
              </w:rPr>
              <w:t> ». L’analyse menée cherche toutefois à vérifier les divers effets indirects ou non intentionnels (comme mentionné plus haut). Elle tient notamment compte de l’effet (enrichissant envers les terres arables mais appauvrissant envers le total des terres agricoles) de la conversion des prairies et de l’impact que le PDR peut exercer sur ce processus.</w:t>
            </w:r>
          </w:p>
        </w:tc>
      </w:tr>
      <w:tr w:rsidR="00BC5BDB" w:rsidRPr="00146DB7" w:rsidTr="005610F4">
        <w:tc>
          <w:tcPr>
            <w:tcW w:w="846" w:type="dxa"/>
          </w:tcPr>
          <w:p w:rsidR="00BC5BDB" w:rsidRPr="00146DB7" w:rsidRDefault="00BC5BDB" w:rsidP="005610F4">
            <w:r w:rsidRPr="00146DB7">
              <w:t>I.13.</w:t>
            </w:r>
          </w:p>
        </w:tc>
        <w:tc>
          <w:tcPr>
            <w:tcW w:w="5528" w:type="dxa"/>
          </w:tcPr>
          <w:p w:rsidR="00BC5BDB" w:rsidRPr="00146DB7" w:rsidRDefault="00BC5BDB" w:rsidP="005610F4">
            <w:r w:rsidRPr="00146DB7">
              <w:t xml:space="preserve">Erosion </w:t>
            </w:r>
            <w:proofErr w:type="spellStart"/>
            <w:r w:rsidRPr="00146DB7">
              <w:t>hydrique</w:t>
            </w:r>
            <w:proofErr w:type="spellEnd"/>
            <w:r w:rsidRPr="00146DB7">
              <w:t xml:space="preserve"> des sols</w:t>
            </w:r>
          </w:p>
        </w:tc>
        <w:tc>
          <w:tcPr>
            <w:tcW w:w="2693" w:type="dxa"/>
          </w:tcPr>
          <w:p w:rsidR="00BC5BDB" w:rsidRPr="00146DB7" w:rsidRDefault="00BC5BDB" w:rsidP="005610F4">
            <w:r w:rsidRPr="00146DB7">
              <w:t>Page 70</w:t>
            </w:r>
          </w:p>
        </w:tc>
      </w:tr>
      <w:tr w:rsidR="00BC5BDB" w:rsidRPr="00E9242B" w:rsidTr="005610F4">
        <w:tc>
          <w:tcPr>
            <w:tcW w:w="9067" w:type="dxa"/>
            <w:gridSpan w:val="3"/>
          </w:tcPr>
          <w:p w:rsidR="00BC5BDB" w:rsidRPr="00057CAF" w:rsidRDefault="00BC5BDB" w:rsidP="000B14F5">
            <w:pPr>
              <w:rPr>
                <w:lang w:val="fr-FR"/>
              </w:rPr>
            </w:pPr>
            <w:r w:rsidRPr="00057CAF">
              <w:rPr>
                <w:lang w:val="fr-FR"/>
              </w:rPr>
              <w:t>Le modèle logique présente des anomalies (pas de lien entre la question sur la disponibilité d’un modèle et l’option consistant à utiliser un modèle) qui incitent à ne s’y référer qu’avec prudence.  Comme dans le cas de l’indicateur I.12, le PDR wallon est peu orienté vers cette préoccupation et l’analyse est qualitative.</w:t>
            </w:r>
          </w:p>
        </w:tc>
      </w:tr>
    </w:tbl>
    <w:p w:rsidR="00583CAF" w:rsidRPr="00057CAF" w:rsidRDefault="00583CAF" w:rsidP="000B14F5">
      <w:pPr>
        <w:rPr>
          <w:lang w:val="fr-FR"/>
        </w:rPr>
      </w:pPr>
    </w:p>
    <w:p w:rsidR="00A3455A" w:rsidRPr="00057CAF" w:rsidRDefault="00A3455A">
      <w:pPr>
        <w:spacing w:after="160" w:line="259" w:lineRule="auto"/>
        <w:jc w:val="left"/>
        <w:rPr>
          <w:rFonts w:asciiTheme="majorHAnsi" w:eastAsiaTheme="majorEastAsia" w:hAnsiTheme="majorHAnsi" w:cstheme="majorBidi"/>
          <w:sz w:val="26"/>
          <w:szCs w:val="26"/>
          <w:u w:val="single"/>
          <w:lang w:val="fr-FR"/>
        </w:rPr>
      </w:pPr>
      <w:bookmarkStart w:id="70" w:name="_Toc1055149"/>
      <w:r w:rsidRPr="00057CAF">
        <w:rPr>
          <w:lang w:val="fr-FR"/>
        </w:rPr>
        <w:br w:type="page"/>
      </w:r>
    </w:p>
    <w:p w:rsidR="0050022D" w:rsidRPr="00057CAF" w:rsidRDefault="0050022D" w:rsidP="000B14F5">
      <w:pPr>
        <w:pStyle w:val="Titre2"/>
        <w:rPr>
          <w:lang w:val="fr-FR"/>
        </w:rPr>
        <w:sectPr w:rsidR="0050022D" w:rsidRPr="00057CAF" w:rsidSect="00432D1B">
          <w:footerReference w:type="default" r:id="rId20"/>
          <w:type w:val="oddPage"/>
          <w:pgSz w:w="11906" w:h="16838"/>
          <w:pgMar w:top="1417" w:right="1417" w:bottom="1417" w:left="1417" w:header="708" w:footer="708" w:gutter="0"/>
          <w:pgNumType w:start="1"/>
          <w:cols w:space="708"/>
          <w:docGrid w:linePitch="360"/>
        </w:sectPr>
      </w:pPr>
      <w:bookmarkStart w:id="71" w:name="_Toc11278971"/>
    </w:p>
    <w:p w:rsidR="005C4E92" w:rsidRDefault="00B75D71" w:rsidP="0050022D">
      <w:pPr>
        <w:pStyle w:val="Titre1"/>
      </w:pPr>
      <w:bookmarkStart w:id="72" w:name="_Toc25688775"/>
      <w:r>
        <w:lastRenderedPageBreak/>
        <w:t>Annexe</w:t>
      </w:r>
      <w:r w:rsidR="000B14F5">
        <w:t xml:space="preserve"> 2. Analyse des modalités d’action du PDR sur l’environnement</w:t>
      </w:r>
      <w:bookmarkEnd w:id="70"/>
      <w:bookmarkEnd w:id="71"/>
      <w:bookmarkEnd w:id="72"/>
    </w:p>
    <w:p w:rsidR="006F0642" w:rsidRPr="00057CAF" w:rsidRDefault="006F0642" w:rsidP="006F0642">
      <w:pPr>
        <w:rPr>
          <w:lang w:val="fr-FR"/>
        </w:rPr>
      </w:pPr>
      <w:r w:rsidRPr="00057CAF">
        <w:rPr>
          <w:lang w:val="fr-FR"/>
        </w:rPr>
        <w:t>L</w:t>
      </w:r>
      <w:r w:rsidR="003C50A9" w:rsidRPr="00057CAF">
        <w:rPr>
          <w:lang w:val="fr-FR"/>
        </w:rPr>
        <w:t xml:space="preserve">e tableau </w:t>
      </w:r>
      <w:r w:rsidRPr="00057CAF">
        <w:rPr>
          <w:lang w:val="fr-FR"/>
        </w:rPr>
        <w:t xml:space="preserve">qui suit </w:t>
      </w:r>
      <w:r w:rsidR="003C50A9" w:rsidRPr="00057CAF">
        <w:rPr>
          <w:lang w:val="fr-FR"/>
        </w:rPr>
        <w:t xml:space="preserve">analyse les diverses modalités d’action théoriques des mesures du PDR envers l’environnement, que l’impact </w:t>
      </w:r>
      <w:r w:rsidR="00E36C0D" w:rsidRPr="00057CAF">
        <w:rPr>
          <w:lang w:val="fr-FR"/>
        </w:rPr>
        <w:t xml:space="preserve">attendu </w:t>
      </w:r>
      <w:r w:rsidR="003C50A9" w:rsidRPr="00057CAF">
        <w:rPr>
          <w:lang w:val="fr-FR"/>
        </w:rPr>
        <w:t xml:space="preserve">soit positif (en vert), indéterminé ou négatif. Cette analyse </w:t>
      </w:r>
      <w:r w:rsidRPr="00057CAF">
        <w:rPr>
          <w:lang w:val="fr-FR"/>
        </w:rPr>
        <w:t xml:space="preserve">montre </w:t>
      </w:r>
      <w:r w:rsidR="003C50A9" w:rsidRPr="00057CAF">
        <w:rPr>
          <w:lang w:val="fr-FR"/>
        </w:rPr>
        <w:t xml:space="preserve">que </w:t>
      </w:r>
      <w:r w:rsidRPr="00057CAF">
        <w:rPr>
          <w:lang w:val="fr-FR"/>
        </w:rPr>
        <w:t xml:space="preserve">la totalité des mesures du PDR est </w:t>
      </w:r>
      <w:r w:rsidR="003C50A9" w:rsidRPr="00057CAF">
        <w:rPr>
          <w:lang w:val="fr-FR"/>
        </w:rPr>
        <w:t xml:space="preserve">susceptible d’entrainer des </w:t>
      </w:r>
      <w:r w:rsidRPr="00057CAF">
        <w:rPr>
          <w:lang w:val="fr-FR"/>
        </w:rPr>
        <w:t>effets environnementaux, indépenda</w:t>
      </w:r>
      <w:r w:rsidR="003C50A9" w:rsidRPr="00057CAF">
        <w:rPr>
          <w:lang w:val="fr-FR"/>
        </w:rPr>
        <w:t>mment</w:t>
      </w:r>
      <w:r w:rsidRPr="00057CAF">
        <w:rPr>
          <w:lang w:val="fr-FR"/>
        </w:rPr>
        <w:t xml:space="preserve"> des contributions primaires ou secondaires assignées par le PDR.</w:t>
      </w:r>
    </w:p>
    <w:p w:rsidR="0050022D" w:rsidRPr="00057CAF" w:rsidRDefault="0050022D" w:rsidP="006F0642">
      <w:pPr>
        <w:rPr>
          <w:lang w:val="fr-FR"/>
        </w:rPr>
      </w:pPr>
    </w:p>
    <w:tbl>
      <w:tblPr>
        <w:tblStyle w:val="Grilledutableau"/>
        <w:tblW w:w="9067" w:type="dxa"/>
        <w:tblLook w:val="04A0" w:firstRow="1" w:lastRow="0" w:firstColumn="1" w:lastColumn="0" w:noHBand="0" w:noVBand="1"/>
      </w:tblPr>
      <w:tblGrid>
        <w:gridCol w:w="4243"/>
        <w:gridCol w:w="425"/>
        <w:gridCol w:w="425"/>
        <w:gridCol w:w="426"/>
        <w:gridCol w:w="425"/>
        <w:gridCol w:w="396"/>
        <w:gridCol w:w="441"/>
        <w:gridCol w:w="441"/>
        <w:gridCol w:w="522"/>
        <w:gridCol w:w="441"/>
        <w:gridCol w:w="441"/>
        <w:gridCol w:w="441"/>
      </w:tblGrid>
      <w:tr w:rsidR="00762AD1" w:rsidTr="00DA1FE6">
        <w:tc>
          <w:tcPr>
            <w:tcW w:w="4248" w:type="dxa"/>
          </w:tcPr>
          <w:p w:rsidR="00762AD1" w:rsidRDefault="000C1213" w:rsidP="000C1213">
            <w:pPr>
              <w:jc w:val="right"/>
            </w:pPr>
            <w:proofErr w:type="spellStart"/>
            <w:proofErr w:type="gramStart"/>
            <w:r>
              <w:t>Mesures</w:t>
            </w:r>
            <w:proofErr w:type="spellEnd"/>
            <w:r>
              <w:t> :</w:t>
            </w:r>
            <w:proofErr w:type="gramEnd"/>
          </w:p>
        </w:tc>
        <w:tc>
          <w:tcPr>
            <w:tcW w:w="425" w:type="dxa"/>
          </w:tcPr>
          <w:p w:rsidR="00762AD1" w:rsidRDefault="00762AD1" w:rsidP="006F0642">
            <w:r>
              <w:t>1</w:t>
            </w:r>
          </w:p>
        </w:tc>
        <w:tc>
          <w:tcPr>
            <w:tcW w:w="425" w:type="dxa"/>
          </w:tcPr>
          <w:p w:rsidR="00762AD1" w:rsidRDefault="00762AD1" w:rsidP="006F0642">
            <w:r>
              <w:t>4</w:t>
            </w:r>
          </w:p>
        </w:tc>
        <w:tc>
          <w:tcPr>
            <w:tcW w:w="426" w:type="dxa"/>
          </w:tcPr>
          <w:p w:rsidR="00762AD1" w:rsidRDefault="00762AD1" w:rsidP="006F0642">
            <w:r>
              <w:t>6</w:t>
            </w:r>
          </w:p>
        </w:tc>
        <w:tc>
          <w:tcPr>
            <w:tcW w:w="425" w:type="dxa"/>
          </w:tcPr>
          <w:p w:rsidR="00762AD1" w:rsidRDefault="00762AD1" w:rsidP="006F0642">
            <w:r>
              <w:t>7</w:t>
            </w:r>
          </w:p>
        </w:tc>
        <w:tc>
          <w:tcPr>
            <w:tcW w:w="396" w:type="dxa"/>
          </w:tcPr>
          <w:p w:rsidR="00762AD1" w:rsidRDefault="00762AD1" w:rsidP="006F0642">
            <w:r>
              <w:t>8</w:t>
            </w:r>
          </w:p>
        </w:tc>
        <w:tc>
          <w:tcPr>
            <w:tcW w:w="440" w:type="dxa"/>
          </w:tcPr>
          <w:p w:rsidR="00762AD1" w:rsidRDefault="00762AD1" w:rsidP="006F0642">
            <w:r>
              <w:t>10</w:t>
            </w:r>
          </w:p>
        </w:tc>
        <w:tc>
          <w:tcPr>
            <w:tcW w:w="440" w:type="dxa"/>
          </w:tcPr>
          <w:p w:rsidR="00762AD1" w:rsidRDefault="00762AD1" w:rsidP="006F0642">
            <w:r>
              <w:t>11</w:t>
            </w:r>
          </w:p>
        </w:tc>
        <w:tc>
          <w:tcPr>
            <w:tcW w:w="522" w:type="dxa"/>
          </w:tcPr>
          <w:p w:rsidR="00762AD1" w:rsidRDefault="00762AD1" w:rsidP="006F0642">
            <w:r>
              <w:t>12</w:t>
            </w:r>
          </w:p>
        </w:tc>
        <w:tc>
          <w:tcPr>
            <w:tcW w:w="440" w:type="dxa"/>
          </w:tcPr>
          <w:p w:rsidR="00762AD1" w:rsidRDefault="00762AD1" w:rsidP="006F0642">
            <w:r>
              <w:t>13</w:t>
            </w:r>
          </w:p>
        </w:tc>
        <w:tc>
          <w:tcPr>
            <w:tcW w:w="440" w:type="dxa"/>
          </w:tcPr>
          <w:p w:rsidR="00762AD1" w:rsidRDefault="00762AD1" w:rsidP="006F0642">
            <w:r>
              <w:t>16</w:t>
            </w:r>
          </w:p>
        </w:tc>
        <w:tc>
          <w:tcPr>
            <w:tcW w:w="440" w:type="dxa"/>
          </w:tcPr>
          <w:p w:rsidR="00762AD1" w:rsidRDefault="00762AD1" w:rsidP="006F0642">
            <w:r>
              <w:t>19</w:t>
            </w:r>
          </w:p>
        </w:tc>
      </w:tr>
      <w:tr w:rsidR="00762AD1" w:rsidTr="000C1213">
        <w:tc>
          <w:tcPr>
            <w:tcW w:w="4248" w:type="dxa"/>
          </w:tcPr>
          <w:p w:rsidR="00762AD1" w:rsidRDefault="00DA1FE6" w:rsidP="006F0642">
            <w:proofErr w:type="spellStart"/>
            <w:r>
              <w:t>Appui</w:t>
            </w:r>
            <w:proofErr w:type="spellEnd"/>
            <w:r>
              <w:t xml:space="preserve"> direct à </w:t>
            </w:r>
            <w:proofErr w:type="spellStart"/>
            <w:r>
              <w:t>l’environnement</w:t>
            </w:r>
            <w:proofErr w:type="spellEnd"/>
          </w:p>
        </w:tc>
        <w:tc>
          <w:tcPr>
            <w:tcW w:w="425" w:type="dxa"/>
          </w:tcPr>
          <w:p w:rsidR="00762AD1" w:rsidRDefault="00762AD1" w:rsidP="006F0642"/>
        </w:tc>
        <w:tc>
          <w:tcPr>
            <w:tcW w:w="425" w:type="dxa"/>
          </w:tcPr>
          <w:p w:rsidR="00762AD1" w:rsidRDefault="00762AD1" w:rsidP="006F0642"/>
        </w:tc>
        <w:tc>
          <w:tcPr>
            <w:tcW w:w="426" w:type="dxa"/>
          </w:tcPr>
          <w:p w:rsidR="00762AD1" w:rsidRDefault="00762AD1" w:rsidP="006F0642"/>
        </w:tc>
        <w:tc>
          <w:tcPr>
            <w:tcW w:w="425" w:type="dxa"/>
            <w:shd w:val="clear" w:color="auto" w:fill="C5E0B3" w:themeFill="accent6" w:themeFillTint="66"/>
          </w:tcPr>
          <w:p w:rsidR="00762AD1" w:rsidRDefault="000C1213" w:rsidP="006F0642">
            <w:r>
              <w:t>x</w:t>
            </w:r>
          </w:p>
        </w:tc>
        <w:tc>
          <w:tcPr>
            <w:tcW w:w="396" w:type="dxa"/>
          </w:tcPr>
          <w:p w:rsidR="00762AD1" w:rsidRDefault="00762AD1" w:rsidP="006F0642"/>
        </w:tc>
        <w:tc>
          <w:tcPr>
            <w:tcW w:w="440" w:type="dxa"/>
            <w:shd w:val="clear" w:color="auto" w:fill="C5E0B3" w:themeFill="accent6" w:themeFillTint="66"/>
          </w:tcPr>
          <w:p w:rsidR="00762AD1" w:rsidRDefault="000C1213" w:rsidP="006F0642">
            <w:r>
              <w:t>x</w:t>
            </w:r>
          </w:p>
        </w:tc>
        <w:tc>
          <w:tcPr>
            <w:tcW w:w="440" w:type="dxa"/>
            <w:shd w:val="clear" w:color="auto" w:fill="C5E0B3" w:themeFill="accent6" w:themeFillTint="66"/>
          </w:tcPr>
          <w:p w:rsidR="00762AD1" w:rsidRDefault="000C1213" w:rsidP="006F0642">
            <w:r>
              <w:t>x</w:t>
            </w:r>
          </w:p>
        </w:tc>
        <w:tc>
          <w:tcPr>
            <w:tcW w:w="522" w:type="dxa"/>
          </w:tcPr>
          <w:p w:rsidR="00762AD1" w:rsidRDefault="00762AD1" w:rsidP="006F0642"/>
        </w:tc>
        <w:tc>
          <w:tcPr>
            <w:tcW w:w="440" w:type="dxa"/>
          </w:tcPr>
          <w:p w:rsidR="00762AD1" w:rsidRDefault="00762AD1" w:rsidP="006F0642"/>
        </w:tc>
        <w:tc>
          <w:tcPr>
            <w:tcW w:w="440" w:type="dxa"/>
          </w:tcPr>
          <w:p w:rsidR="00762AD1" w:rsidRDefault="00762AD1" w:rsidP="006F0642"/>
        </w:tc>
        <w:tc>
          <w:tcPr>
            <w:tcW w:w="440" w:type="dxa"/>
            <w:shd w:val="clear" w:color="auto" w:fill="C5E0B3" w:themeFill="accent6" w:themeFillTint="66"/>
          </w:tcPr>
          <w:p w:rsidR="00762AD1" w:rsidRDefault="000C1213" w:rsidP="006F0642">
            <w:r>
              <w:t>x</w:t>
            </w:r>
          </w:p>
        </w:tc>
      </w:tr>
      <w:tr w:rsidR="00DA1FE6" w:rsidTr="000C1213">
        <w:tc>
          <w:tcPr>
            <w:tcW w:w="4248" w:type="dxa"/>
          </w:tcPr>
          <w:p w:rsidR="00DA1FE6" w:rsidRPr="00057CAF" w:rsidRDefault="00DA1FE6" w:rsidP="00CA65CE">
            <w:pPr>
              <w:rPr>
                <w:lang w:val="fr-FR"/>
              </w:rPr>
            </w:pPr>
            <w:r w:rsidRPr="00057CAF">
              <w:rPr>
                <w:lang w:val="fr-FR"/>
              </w:rPr>
              <w:t>Incitation au respect de</w:t>
            </w:r>
            <w:r w:rsidR="00CA65CE" w:rsidRPr="00057CAF">
              <w:rPr>
                <w:lang w:val="fr-FR"/>
              </w:rPr>
              <w:t xml:space="preserve"> normes</w:t>
            </w:r>
          </w:p>
        </w:tc>
        <w:tc>
          <w:tcPr>
            <w:tcW w:w="425" w:type="dxa"/>
          </w:tcPr>
          <w:p w:rsidR="00DA1FE6" w:rsidRPr="00057CAF" w:rsidRDefault="00DA1FE6" w:rsidP="006F0642">
            <w:pPr>
              <w:rPr>
                <w:lang w:val="fr-FR"/>
              </w:rPr>
            </w:pPr>
          </w:p>
        </w:tc>
        <w:tc>
          <w:tcPr>
            <w:tcW w:w="425" w:type="dxa"/>
            <w:shd w:val="clear" w:color="auto" w:fill="C5E0B3" w:themeFill="accent6" w:themeFillTint="66"/>
          </w:tcPr>
          <w:p w:rsidR="00DA1FE6" w:rsidRDefault="000C1213" w:rsidP="006F0642">
            <w:r>
              <w:t>x</w:t>
            </w:r>
          </w:p>
        </w:tc>
        <w:tc>
          <w:tcPr>
            <w:tcW w:w="426" w:type="dxa"/>
            <w:shd w:val="clear" w:color="auto" w:fill="C5E0B3" w:themeFill="accent6" w:themeFillTint="66"/>
          </w:tcPr>
          <w:p w:rsidR="00DA1FE6" w:rsidRDefault="000C1213" w:rsidP="006F0642">
            <w:r>
              <w:t>x</w:t>
            </w:r>
          </w:p>
        </w:tc>
        <w:tc>
          <w:tcPr>
            <w:tcW w:w="425" w:type="dxa"/>
          </w:tcPr>
          <w:p w:rsidR="00DA1FE6" w:rsidRDefault="00DA1FE6" w:rsidP="006F0642"/>
        </w:tc>
        <w:tc>
          <w:tcPr>
            <w:tcW w:w="396" w:type="dxa"/>
          </w:tcPr>
          <w:p w:rsidR="00DA1FE6" w:rsidRDefault="00DA1FE6" w:rsidP="006F0642"/>
        </w:tc>
        <w:tc>
          <w:tcPr>
            <w:tcW w:w="440" w:type="dxa"/>
            <w:shd w:val="clear" w:color="auto" w:fill="C5E0B3" w:themeFill="accent6" w:themeFillTint="66"/>
          </w:tcPr>
          <w:p w:rsidR="00DA1FE6" w:rsidRDefault="000C1213" w:rsidP="006F0642">
            <w:r>
              <w:t>x</w:t>
            </w:r>
          </w:p>
        </w:tc>
        <w:tc>
          <w:tcPr>
            <w:tcW w:w="440" w:type="dxa"/>
            <w:shd w:val="clear" w:color="auto" w:fill="C5E0B3" w:themeFill="accent6" w:themeFillTint="66"/>
          </w:tcPr>
          <w:p w:rsidR="00DA1FE6" w:rsidRDefault="000C1213" w:rsidP="006F0642">
            <w:r>
              <w:t>x</w:t>
            </w:r>
          </w:p>
        </w:tc>
        <w:tc>
          <w:tcPr>
            <w:tcW w:w="522" w:type="dxa"/>
            <w:shd w:val="clear" w:color="auto" w:fill="C5E0B3" w:themeFill="accent6" w:themeFillTint="66"/>
          </w:tcPr>
          <w:p w:rsidR="00DA1FE6" w:rsidRDefault="000C1213" w:rsidP="006F0642">
            <w:r>
              <w:t>x</w:t>
            </w:r>
          </w:p>
        </w:tc>
        <w:tc>
          <w:tcPr>
            <w:tcW w:w="440" w:type="dxa"/>
            <w:shd w:val="clear" w:color="auto" w:fill="C5E0B3" w:themeFill="accent6" w:themeFillTint="66"/>
          </w:tcPr>
          <w:p w:rsidR="00DA1FE6" w:rsidRDefault="000C1213" w:rsidP="006F0642">
            <w:r>
              <w:t>x</w:t>
            </w:r>
          </w:p>
        </w:tc>
        <w:tc>
          <w:tcPr>
            <w:tcW w:w="440" w:type="dxa"/>
          </w:tcPr>
          <w:p w:rsidR="00DA1FE6" w:rsidRDefault="00DA1FE6" w:rsidP="006F0642"/>
        </w:tc>
        <w:tc>
          <w:tcPr>
            <w:tcW w:w="440" w:type="dxa"/>
          </w:tcPr>
          <w:p w:rsidR="00DA1FE6" w:rsidRDefault="00DA1FE6" w:rsidP="006F0642"/>
        </w:tc>
      </w:tr>
      <w:tr w:rsidR="00762AD1" w:rsidTr="000C1213">
        <w:tc>
          <w:tcPr>
            <w:tcW w:w="4248" w:type="dxa"/>
          </w:tcPr>
          <w:p w:rsidR="00762AD1" w:rsidRPr="00057CAF" w:rsidRDefault="00DA1FE6" w:rsidP="006F0642">
            <w:pPr>
              <w:rPr>
                <w:lang w:val="fr-FR"/>
              </w:rPr>
            </w:pPr>
            <w:r w:rsidRPr="00057CAF">
              <w:rPr>
                <w:lang w:val="fr-FR"/>
              </w:rPr>
              <w:t>Incitation à des attitudes favorables</w:t>
            </w:r>
          </w:p>
        </w:tc>
        <w:tc>
          <w:tcPr>
            <w:tcW w:w="425" w:type="dxa"/>
            <w:shd w:val="clear" w:color="auto" w:fill="C5E0B3" w:themeFill="accent6" w:themeFillTint="66"/>
          </w:tcPr>
          <w:p w:rsidR="00762AD1" w:rsidRDefault="00DA1FE6" w:rsidP="006F0642">
            <w:r>
              <w:t>x</w:t>
            </w:r>
          </w:p>
        </w:tc>
        <w:tc>
          <w:tcPr>
            <w:tcW w:w="425" w:type="dxa"/>
          </w:tcPr>
          <w:p w:rsidR="00762AD1" w:rsidRDefault="00762AD1" w:rsidP="006F0642"/>
        </w:tc>
        <w:tc>
          <w:tcPr>
            <w:tcW w:w="426" w:type="dxa"/>
          </w:tcPr>
          <w:p w:rsidR="00762AD1" w:rsidRDefault="00762AD1" w:rsidP="006F0642"/>
        </w:tc>
        <w:tc>
          <w:tcPr>
            <w:tcW w:w="425" w:type="dxa"/>
          </w:tcPr>
          <w:p w:rsidR="00762AD1" w:rsidRDefault="00762AD1" w:rsidP="006F0642"/>
        </w:tc>
        <w:tc>
          <w:tcPr>
            <w:tcW w:w="396" w:type="dxa"/>
          </w:tcPr>
          <w:p w:rsidR="00762AD1" w:rsidRDefault="00762AD1" w:rsidP="006F0642"/>
        </w:tc>
        <w:tc>
          <w:tcPr>
            <w:tcW w:w="440" w:type="dxa"/>
            <w:shd w:val="clear" w:color="auto" w:fill="C5E0B3" w:themeFill="accent6" w:themeFillTint="66"/>
          </w:tcPr>
          <w:p w:rsidR="00762AD1" w:rsidRDefault="00DA1FE6" w:rsidP="006F0642">
            <w:r>
              <w:t>x</w:t>
            </w:r>
          </w:p>
        </w:tc>
        <w:tc>
          <w:tcPr>
            <w:tcW w:w="440" w:type="dxa"/>
          </w:tcPr>
          <w:p w:rsidR="00762AD1" w:rsidRDefault="00762AD1" w:rsidP="006F0642"/>
        </w:tc>
        <w:tc>
          <w:tcPr>
            <w:tcW w:w="522" w:type="dxa"/>
            <w:shd w:val="clear" w:color="auto" w:fill="C5E0B3" w:themeFill="accent6" w:themeFillTint="66"/>
          </w:tcPr>
          <w:p w:rsidR="00762AD1" w:rsidRDefault="000C1213" w:rsidP="006F0642">
            <w:r>
              <w:t>x</w:t>
            </w:r>
          </w:p>
        </w:tc>
        <w:tc>
          <w:tcPr>
            <w:tcW w:w="440" w:type="dxa"/>
          </w:tcPr>
          <w:p w:rsidR="00762AD1" w:rsidRDefault="00762AD1" w:rsidP="006F0642"/>
        </w:tc>
        <w:tc>
          <w:tcPr>
            <w:tcW w:w="440" w:type="dxa"/>
          </w:tcPr>
          <w:p w:rsidR="00762AD1" w:rsidRDefault="00762AD1" w:rsidP="006F0642"/>
        </w:tc>
        <w:tc>
          <w:tcPr>
            <w:tcW w:w="440" w:type="dxa"/>
            <w:shd w:val="clear" w:color="auto" w:fill="C5E0B3" w:themeFill="accent6" w:themeFillTint="66"/>
          </w:tcPr>
          <w:p w:rsidR="00762AD1" w:rsidRDefault="00DA1FE6" w:rsidP="006F0642">
            <w:r>
              <w:t>x</w:t>
            </w:r>
          </w:p>
        </w:tc>
      </w:tr>
      <w:tr w:rsidR="00762AD1" w:rsidTr="000C1213">
        <w:tc>
          <w:tcPr>
            <w:tcW w:w="4248" w:type="dxa"/>
          </w:tcPr>
          <w:p w:rsidR="00762AD1" w:rsidRPr="00057CAF" w:rsidRDefault="00DA1FE6" w:rsidP="00DA1FE6">
            <w:pPr>
              <w:rPr>
                <w:lang w:val="fr-FR"/>
              </w:rPr>
            </w:pPr>
            <w:r w:rsidRPr="00057CAF">
              <w:rPr>
                <w:lang w:val="fr-FR"/>
              </w:rPr>
              <w:t>Soutien potentiel ou réel à l’intensification</w:t>
            </w:r>
          </w:p>
        </w:tc>
        <w:tc>
          <w:tcPr>
            <w:tcW w:w="425" w:type="dxa"/>
            <w:shd w:val="clear" w:color="auto" w:fill="FFE599" w:themeFill="accent4" w:themeFillTint="66"/>
          </w:tcPr>
          <w:p w:rsidR="00762AD1" w:rsidRDefault="00DA1FE6" w:rsidP="006F0642">
            <w:r>
              <w:t>x</w:t>
            </w:r>
          </w:p>
        </w:tc>
        <w:tc>
          <w:tcPr>
            <w:tcW w:w="425" w:type="dxa"/>
            <w:shd w:val="clear" w:color="auto" w:fill="FFE599" w:themeFill="accent4" w:themeFillTint="66"/>
          </w:tcPr>
          <w:p w:rsidR="00762AD1" w:rsidRDefault="00DA1FE6" w:rsidP="006F0642">
            <w:r>
              <w:t>x</w:t>
            </w:r>
          </w:p>
        </w:tc>
        <w:tc>
          <w:tcPr>
            <w:tcW w:w="426" w:type="dxa"/>
            <w:shd w:val="clear" w:color="auto" w:fill="FFE599" w:themeFill="accent4" w:themeFillTint="66"/>
          </w:tcPr>
          <w:p w:rsidR="00762AD1" w:rsidRDefault="000C1213" w:rsidP="006F0642">
            <w:r>
              <w:t>x</w:t>
            </w:r>
          </w:p>
        </w:tc>
        <w:tc>
          <w:tcPr>
            <w:tcW w:w="425" w:type="dxa"/>
          </w:tcPr>
          <w:p w:rsidR="00762AD1" w:rsidRDefault="00762AD1" w:rsidP="006F0642"/>
        </w:tc>
        <w:tc>
          <w:tcPr>
            <w:tcW w:w="396" w:type="dxa"/>
          </w:tcPr>
          <w:p w:rsidR="00762AD1" w:rsidRDefault="00762AD1" w:rsidP="006F0642"/>
        </w:tc>
        <w:tc>
          <w:tcPr>
            <w:tcW w:w="440" w:type="dxa"/>
          </w:tcPr>
          <w:p w:rsidR="00762AD1" w:rsidRDefault="00762AD1" w:rsidP="006F0642"/>
        </w:tc>
        <w:tc>
          <w:tcPr>
            <w:tcW w:w="440" w:type="dxa"/>
          </w:tcPr>
          <w:p w:rsidR="00762AD1" w:rsidRDefault="00762AD1" w:rsidP="006F0642"/>
        </w:tc>
        <w:tc>
          <w:tcPr>
            <w:tcW w:w="522" w:type="dxa"/>
          </w:tcPr>
          <w:p w:rsidR="00762AD1" w:rsidRDefault="00762AD1" w:rsidP="006F0642"/>
        </w:tc>
        <w:tc>
          <w:tcPr>
            <w:tcW w:w="440" w:type="dxa"/>
          </w:tcPr>
          <w:p w:rsidR="00762AD1" w:rsidRDefault="00762AD1" w:rsidP="006F0642"/>
        </w:tc>
        <w:tc>
          <w:tcPr>
            <w:tcW w:w="440" w:type="dxa"/>
          </w:tcPr>
          <w:p w:rsidR="00762AD1" w:rsidRDefault="00762AD1" w:rsidP="006F0642"/>
        </w:tc>
        <w:tc>
          <w:tcPr>
            <w:tcW w:w="440" w:type="dxa"/>
          </w:tcPr>
          <w:p w:rsidR="00762AD1" w:rsidRDefault="00762AD1" w:rsidP="006F0642"/>
        </w:tc>
      </w:tr>
      <w:tr w:rsidR="00762AD1" w:rsidTr="000C1213">
        <w:tc>
          <w:tcPr>
            <w:tcW w:w="4248" w:type="dxa"/>
          </w:tcPr>
          <w:p w:rsidR="00762AD1" w:rsidRPr="00057CAF" w:rsidRDefault="00DA1FE6" w:rsidP="00CA65CE">
            <w:pPr>
              <w:rPr>
                <w:lang w:val="fr-FR"/>
              </w:rPr>
            </w:pPr>
            <w:r w:rsidRPr="00057CAF">
              <w:rPr>
                <w:lang w:val="fr-FR"/>
              </w:rPr>
              <w:t xml:space="preserve">Effets divers sur l’activité </w:t>
            </w:r>
            <w:r w:rsidR="000C1213" w:rsidRPr="00057CAF">
              <w:rPr>
                <w:lang w:val="fr-FR"/>
              </w:rPr>
              <w:t xml:space="preserve">non agricole </w:t>
            </w:r>
          </w:p>
        </w:tc>
        <w:tc>
          <w:tcPr>
            <w:tcW w:w="425" w:type="dxa"/>
          </w:tcPr>
          <w:p w:rsidR="00762AD1" w:rsidRPr="00057CAF" w:rsidRDefault="00762AD1" w:rsidP="006F0642">
            <w:pPr>
              <w:rPr>
                <w:lang w:val="fr-FR"/>
              </w:rPr>
            </w:pPr>
          </w:p>
        </w:tc>
        <w:tc>
          <w:tcPr>
            <w:tcW w:w="425" w:type="dxa"/>
            <w:shd w:val="clear" w:color="auto" w:fill="FFE599" w:themeFill="accent4" w:themeFillTint="66"/>
          </w:tcPr>
          <w:p w:rsidR="00762AD1" w:rsidRDefault="000C1213" w:rsidP="006F0642">
            <w:r>
              <w:t>x</w:t>
            </w:r>
          </w:p>
        </w:tc>
        <w:tc>
          <w:tcPr>
            <w:tcW w:w="426" w:type="dxa"/>
            <w:shd w:val="clear" w:color="auto" w:fill="FFE599" w:themeFill="accent4" w:themeFillTint="66"/>
          </w:tcPr>
          <w:p w:rsidR="00762AD1" w:rsidRDefault="000C1213" w:rsidP="006F0642">
            <w:r>
              <w:t>x</w:t>
            </w:r>
          </w:p>
        </w:tc>
        <w:tc>
          <w:tcPr>
            <w:tcW w:w="425" w:type="dxa"/>
            <w:shd w:val="clear" w:color="auto" w:fill="FFE599" w:themeFill="accent4" w:themeFillTint="66"/>
          </w:tcPr>
          <w:p w:rsidR="00762AD1" w:rsidRDefault="000C1213" w:rsidP="006F0642">
            <w:r>
              <w:t>x</w:t>
            </w:r>
          </w:p>
        </w:tc>
        <w:tc>
          <w:tcPr>
            <w:tcW w:w="396" w:type="dxa"/>
            <w:shd w:val="clear" w:color="auto" w:fill="FFE599" w:themeFill="accent4" w:themeFillTint="66"/>
          </w:tcPr>
          <w:p w:rsidR="00762AD1" w:rsidRDefault="000C1213" w:rsidP="006F0642">
            <w:r>
              <w:t>x</w:t>
            </w:r>
          </w:p>
        </w:tc>
        <w:tc>
          <w:tcPr>
            <w:tcW w:w="440" w:type="dxa"/>
          </w:tcPr>
          <w:p w:rsidR="00762AD1" w:rsidRDefault="00762AD1" w:rsidP="006F0642"/>
        </w:tc>
        <w:tc>
          <w:tcPr>
            <w:tcW w:w="440" w:type="dxa"/>
          </w:tcPr>
          <w:p w:rsidR="00762AD1" w:rsidRDefault="00762AD1" w:rsidP="006F0642"/>
        </w:tc>
        <w:tc>
          <w:tcPr>
            <w:tcW w:w="522" w:type="dxa"/>
          </w:tcPr>
          <w:p w:rsidR="00762AD1" w:rsidRDefault="00762AD1" w:rsidP="006F0642"/>
        </w:tc>
        <w:tc>
          <w:tcPr>
            <w:tcW w:w="440" w:type="dxa"/>
          </w:tcPr>
          <w:p w:rsidR="00762AD1" w:rsidRDefault="00762AD1" w:rsidP="006F0642"/>
        </w:tc>
        <w:tc>
          <w:tcPr>
            <w:tcW w:w="440" w:type="dxa"/>
            <w:shd w:val="clear" w:color="auto" w:fill="FFE599" w:themeFill="accent4" w:themeFillTint="66"/>
          </w:tcPr>
          <w:p w:rsidR="00762AD1" w:rsidRDefault="000C1213" w:rsidP="006F0642">
            <w:r>
              <w:t>x</w:t>
            </w:r>
          </w:p>
        </w:tc>
        <w:tc>
          <w:tcPr>
            <w:tcW w:w="440" w:type="dxa"/>
            <w:shd w:val="clear" w:color="auto" w:fill="FFE599" w:themeFill="accent4" w:themeFillTint="66"/>
          </w:tcPr>
          <w:p w:rsidR="00762AD1" w:rsidRDefault="000C1213" w:rsidP="006F0642">
            <w:r>
              <w:t>x</w:t>
            </w:r>
          </w:p>
        </w:tc>
      </w:tr>
      <w:tr w:rsidR="00762AD1" w:rsidTr="00CA65CE">
        <w:tc>
          <w:tcPr>
            <w:tcW w:w="4248" w:type="dxa"/>
          </w:tcPr>
          <w:p w:rsidR="00762AD1" w:rsidRPr="00057CAF" w:rsidRDefault="000C1213" w:rsidP="006F0642">
            <w:pPr>
              <w:rPr>
                <w:lang w:val="fr-FR"/>
              </w:rPr>
            </w:pPr>
            <w:r w:rsidRPr="00057CAF">
              <w:rPr>
                <w:lang w:val="fr-FR"/>
              </w:rPr>
              <w:t>Effets divers sur la forêt</w:t>
            </w:r>
          </w:p>
        </w:tc>
        <w:tc>
          <w:tcPr>
            <w:tcW w:w="425" w:type="dxa"/>
          </w:tcPr>
          <w:p w:rsidR="00762AD1" w:rsidRPr="00057CAF" w:rsidRDefault="00762AD1" w:rsidP="006F0642">
            <w:pPr>
              <w:rPr>
                <w:lang w:val="fr-FR"/>
              </w:rPr>
            </w:pPr>
          </w:p>
        </w:tc>
        <w:tc>
          <w:tcPr>
            <w:tcW w:w="425" w:type="dxa"/>
          </w:tcPr>
          <w:p w:rsidR="00762AD1" w:rsidRPr="00057CAF" w:rsidRDefault="00762AD1" w:rsidP="006F0642">
            <w:pPr>
              <w:rPr>
                <w:lang w:val="fr-FR"/>
              </w:rPr>
            </w:pPr>
          </w:p>
        </w:tc>
        <w:tc>
          <w:tcPr>
            <w:tcW w:w="426" w:type="dxa"/>
          </w:tcPr>
          <w:p w:rsidR="00762AD1" w:rsidRPr="00057CAF" w:rsidRDefault="00762AD1" w:rsidP="006F0642">
            <w:pPr>
              <w:rPr>
                <w:lang w:val="fr-FR"/>
              </w:rPr>
            </w:pPr>
          </w:p>
        </w:tc>
        <w:tc>
          <w:tcPr>
            <w:tcW w:w="425" w:type="dxa"/>
            <w:shd w:val="clear" w:color="auto" w:fill="C5E0B3" w:themeFill="accent6" w:themeFillTint="66"/>
          </w:tcPr>
          <w:p w:rsidR="00762AD1" w:rsidRDefault="00CA65CE" w:rsidP="006F0642">
            <w:r>
              <w:t>x</w:t>
            </w:r>
          </w:p>
        </w:tc>
        <w:tc>
          <w:tcPr>
            <w:tcW w:w="396" w:type="dxa"/>
            <w:shd w:val="clear" w:color="auto" w:fill="FFE599" w:themeFill="accent4" w:themeFillTint="66"/>
          </w:tcPr>
          <w:p w:rsidR="00762AD1" w:rsidRDefault="00762AD1" w:rsidP="006F0642"/>
        </w:tc>
        <w:tc>
          <w:tcPr>
            <w:tcW w:w="440" w:type="dxa"/>
          </w:tcPr>
          <w:p w:rsidR="00762AD1" w:rsidRDefault="00762AD1" w:rsidP="006F0642"/>
        </w:tc>
        <w:tc>
          <w:tcPr>
            <w:tcW w:w="440" w:type="dxa"/>
          </w:tcPr>
          <w:p w:rsidR="00762AD1" w:rsidRDefault="00762AD1" w:rsidP="006F0642"/>
        </w:tc>
        <w:tc>
          <w:tcPr>
            <w:tcW w:w="522" w:type="dxa"/>
          </w:tcPr>
          <w:p w:rsidR="00762AD1" w:rsidRDefault="00762AD1" w:rsidP="006F0642"/>
        </w:tc>
        <w:tc>
          <w:tcPr>
            <w:tcW w:w="440" w:type="dxa"/>
          </w:tcPr>
          <w:p w:rsidR="00762AD1" w:rsidRDefault="00762AD1" w:rsidP="006F0642"/>
        </w:tc>
        <w:tc>
          <w:tcPr>
            <w:tcW w:w="440" w:type="dxa"/>
          </w:tcPr>
          <w:p w:rsidR="00762AD1" w:rsidRDefault="00762AD1" w:rsidP="006F0642"/>
        </w:tc>
        <w:tc>
          <w:tcPr>
            <w:tcW w:w="440" w:type="dxa"/>
            <w:shd w:val="clear" w:color="auto" w:fill="FFE599" w:themeFill="accent4" w:themeFillTint="66"/>
          </w:tcPr>
          <w:p w:rsidR="00762AD1" w:rsidRDefault="00762AD1" w:rsidP="006F0642"/>
        </w:tc>
      </w:tr>
    </w:tbl>
    <w:p w:rsidR="0050022D" w:rsidRDefault="0050022D" w:rsidP="006F0642"/>
    <w:p w:rsidR="00762AD1" w:rsidRPr="00057CAF" w:rsidRDefault="00CA65CE" w:rsidP="006F0642">
      <w:pPr>
        <w:rPr>
          <w:lang w:val="fr-FR"/>
        </w:rPr>
      </w:pPr>
      <w:r w:rsidRPr="00057CAF">
        <w:rPr>
          <w:lang w:val="fr-FR"/>
        </w:rPr>
        <w:t xml:space="preserve">On peut </w:t>
      </w:r>
      <w:r w:rsidR="00E36C0D" w:rsidRPr="00057CAF">
        <w:rPr>
          <w:lang w:val="fr-FR"/>
        </w:rPr>
        <w:t xml:space="preserve">également suggérer </w:t>
      </w:r>
      <w:r w:rsidRPr="00057CAF">
        <w:rPr>
          <w:lang w:val="fr-FR"/>
        </w:rPr>
        <w:t xml:space="preserve">que toute aide </w:t>
      </w:r>
      <w:r w:rsidR="00E36C0D" w:rsidRPr="00057CAF">
        <w:rPr>
          <w:lang w:val="fr-FR"/>
        </w:rPr>
        <w:t xml:space="preserve">renforçant la sécurité économique de l’agriculteur </w:t>
      </w:r>
      <w:r w:rsidRPr="00057CAF">
        <w:rPr>
          <w:lang w:val="fr-FR"/>
        </w:rPr>
        <w:t xml:space="preserve">pourrait faciliter la prise de risque inhérente à certaines mesures environnementale, </w:t>
      </w:r>
      <w:r w:rsidR="00E36C0D" w:rsidRPr="00057CAF">
        <w:rPr>
          <w:lang w:val="fr-FR"/>
        </w:rPr>
        <w:t xml:space="preserve">et </w:t>
      </w:r>
      <w:r w:rsidRPr="00057CAF">
        <w:rPr>
          <w:lang w:val="fr-FR"/>
        </w:rPr>
        <w:t xml:space="preserve">que toute aide découplée de la production est potentiellement </w:t>
      </w:r>
      <w:r w:rsidR="003C50A9" w:rsidRPr="00057CAF">
        <w:rPr>
          <w:lang w:val="fr-FR"/>
        </w:rPr>
        <w:t>une alternative à l’intensification, mais aussi que toute aide bénéficiaire peut être utilisée à des fins d’intensification.</w:t>
      </w:r>
    </w:p>
    <w:p w:rsidR="00A3455A" w:rsidRPr="00057CAF" w:rsidRDefault="00A3455A" w:rsidP="000B14F5">
      <w:pPr>
        <w:rPr>
          <w:rFonts w:eastAsiaTheme="minorHAnsi"/>
          <w:lang w:val="fr-FR"/>
        </w:rPr>
      </w:pPr>
    </w:p>
    <w:p w:rsidR="00A3455A" w:rsidRPr="00057CAF" w:rsidRDefault="00A3455A">
      <w:pPr>
        <w:spacing w:after="160" w:line="259" w:lineRule="auto"/>
        <w:jc w:val="left"/>
        <w:rPr>
          <w:rFonts w:eastAsiaTheme="minorHAnsi"/>
          <w:lang w:val="fr-FR"/>
        </w:rPr>
      </w:pPr>
      <w:r w:rsidRPr="00057CAF">
        <w:rPr>
          <w:rFonts w:eastAsiaTheme="minorHAnsi"/>
          <w:lang w:val="fr-FR"/>
        </w:rPr>
        <w:br w:type="page"/>
      </w:r>
    </w:p>
    <w:p w:rsidR="0050022D" w:rsidRDefault="0050022D" w:rsidP="0050022D">
      <w:pPr>
        <w:pStyle w:val="Titre1"/>
        <w:rPr>
          <w:rFonts w:eastAsiaTheme="minorHAnsi"/>
        </w:rPr>
        <w:sectPr w:rsidR="0050022D" w:rsidSect="0050022D">
          <w:type w:val="oddPage"/>
          <w:pgSz w:w="11906" w:h="16838"/>
          <w:pgMar w:top="1417" w:right="1417" w:bottom="1417" w:left="1417" w:header="708" w:footer="708" w:gutter="0"/>
          <w:cols w:space="708"/>
          <w:docGrid w:linePitch="360"/>
        </w:sectPr>
      </w:pPr>
      <w:bookmarkStart w:id="73" w:name="_Toc11278972"/>
    </w:p>
    <w:p w:rsidR="005C4E92" w:rsidRPr="00B75D71" w:rsidRDefault="000B14F5" w:rsidP="0050022D">
      <w:pPr>
        <w:pStyle w:val="Titre1"/>
        <w:rPr>
          <w:rFonts w:eastAsiaTheme="minorHAnsi"/>
        </w:rPr>
      </w:pPr>
      <w:bookmarkStart w:id="74" w:name="_Toc25688776"/>
      <w:r>
        <w:rPr>
          <w:rFonts w:eastAsiaTheme="minorHAnsi"/>
        </w:rPr>
        <w:lastRenderedPageBreak/>
        <w:t xml:space="preserve">Annexe 3. </w:t>
      </w:r>
      <w:r w:rsidR="00B841BF" w:rsidRPr="00B75D71">
        <w:rPr>
          <w:rFonts w:eastAsiaTheme="minorHAnsi"/>
        </w:rPr>
        <w:t xml:space="preserve">Analyse des effets </w:t>
      </w:r>
      <w:r>
        <w:rPr>
          <w:rFonts w:eastAsiaTheme="minorHAnsi"/>
        </w:rPr>
        <w:t>du PDR sur les divers aspects de</w:t>
      </w:r>
      <w:r w:rsidR="00B841BF" w:rsidRPr="00B75D71">
        <w:rPr>
          <w:rFonts w:eastAsiaTheme="minorHAnsi"/>
        </w:rPr>
        <w:t xml:space="preserve"> la biodiversité et les paysages</w:t>
      </w:r>
      <w:bookmarkEnd w:id="73"/>
      <w:bookmarkEnd w:id="74"/>
    </w:p>
    <w:p w:rsidR="00B841BF" w:rsidRPr="00057CAF" w:rsidRDefault="00B841BF" w:rsidP="00B841BF">
      <w:pPr>
        <w:autoSpaceDE w:val="0"/>
        <w:autoSpaceDN w:val="0"/>
        <w:adjustRightInd w:val="0"/>
        <w:rPr>
          <w:rFonts w:cstheme="minorHAnsi"/>
          <w:color w:val="000000"/>
          <w:szCs w:val="22"/>
          <w:lang w:val="fr-FR"/>
        </w:rPr>
      </w:pPr>
      <w:r w:rsidRPr="00057CAF">
        <w:rPr>
          <w:rFonts w:cstheme="minorHAnsi"/>
          <w:b/>
          <w:color w:val="000000"/>
          <w:szCs w:val="22"/>
          <w:lang w:val="fr-FR"/>
        </w:rPr>
        <w:t>1. Diversité des habitats semi-naturels ou naturels</w:t>
      </w:r>
      <w:r w:rsidRPr="00057CAF">
        <w:rPr>
          <w:rFonts w:cstheme="minorHAnsi"/>
          <w:color w:val="000000"/>
          <w:szCs w:val="22"/>
          <w:lang w:val="fr-FR"/>
        </w:rPr>
        <w:t>. Le PDR exerce un effet positif indéniable sur la diversité des types d’habitats, à travers le soutien au maintien et à la restauration préférentiels des habitats les plus rares ou menacés (M7.6, M10, M12). Ces actions augmentent les perspectives de maintien de la diversité en termes de nombre de types d’habitats différents (« richesse ») et en termes d’</w:t>
      </w:r>
      <w:proofErr w:type="spellStart"/>
      <w:r w:rsidRPr="00057CAF">
        <w:rPr>
          <w:rFonts w:cstheme="minorHAnsi"/>
          <w:color w:val="000000"/>
          <w:szCs w:val="22"/>
          <w:lang w:val="fr-FR"/>
        </w:rPr>
        <w:t>équirépartition</w:t>
      </w:r>
      <w:proofErr w:type="spellEnd"/>
      <w:r w:rsidRPr="00057CAF">
        <w:rPr>
          <w:rFonts w:cstheme="minorHAnsi"/>
          <w:color w:val="000000"/>
          <w:szCs w:val="22"/>
          <w:lang w:val="fr-FR"/>
        </w:rPr>
        <w:t xml:space="preserve"> (tendance vers l’égalité de superficie entre types d’habitats par extension des plus rares au détriment des plus répandus). L’impact à long terme dépendra des capacités futures à assurer la gestion récurrente des groupements végétaux résultant d’activités humaines et du changement climatique. Une part importante des habitats forestiers visés par M7.6 consiste en hêtraies et boulaies sur tourbe, qui risquent de n’être pas adaptées aux climats futurs. </w:t>
      </w:r>
    </w:p>
    <w:p w:rsidR="0050022D" w:rsidRPr="00057CAF" w:rsidRDefault="0050022D" w:rsidP="00B841BF">
      <w:pPr>
        <w:autoSpaceDE w:val="0"/>
        <w:autoSpaceDN w:val="0"/>
        <w:adjustRightInd w:val="0"/>
        <w:rPr>
          <w:rFonts w:cstheme="minorHAnsi"/>
          <w:color w:val="000000"/>
          <w:szCs w:val="22"/>
          <w:lang w:val="fr-FR"/>
        </w:rPr>
      </w:pPr>
    </w:p>
    <w:p w:rsidR="00B841BF" w:rsidRPr="00057CAF" w:rsidRDefault="00B841BF" w:rsidP="00B841BF">
      <w:pPr>
        <w:autoSpaceDE w:val="0"/>
        <w:autoSpaceDN w:val="0"/>
        <w:adjustRightInd w:val="0"/>
        <w:rPr>
          <w:rFonts w:cstheme="minorHAnsi"/>
          <w:color w:val="000000"/>
          <w:szCs w:val="22"/>
          <w:lang w:val="fr-FR"/>
        </w:rPr>
      </w:pPr>
      <w:r w:rsidRPr="00057CAF">
        <w:rPr>
          <w:rFonts w:cstheme="minorHAnsi"/>
          <w:b/>
          <w:color w:val="000000"/>
          <w:szCs w:val="22"/>
          <w:lang w:val="fr-FR"/>
        </w:rPr>
        <w:t>2. Etat de conservation et capacité d’accueil des habitats</w:t>
      </w:r>
      <w:r w:rsidRPr="00057CAF">
        <w:rPr>
          <w:rFonts w:cstheme="minorHAnsi"/>
          <w:color w:val="000000"/>
          <w:szCs w:val="22"/>
          <w:lang w:val="fr-FR"/>
        </w:rPr>
        <w:t xml:space="preserve">. Le PDR favorise le bon état de conservation des habitats semi-naturels, à travers les mesures M7.6, M10 et, plus indirectement, M12. La qualité biologique des prairies </w:t>
      </w:r>
      <w:r w:rsidR="00834BDA" w:rsidRPr="00057CAF">
        <w:rPr>
          <w:rFonts w:cstheme="minorHAnsi"/>
          <w:color w:val="000000"/>
          <w:szCs w:val="22"/>
          <w:lang w:val="fr-FR"/>
        </w:rPr>
        <w:t xml:space="preserve">pourrait </w:t>
      </w:r>
      <w:r w:rsidRPr="00057CAF">
        <w:rPr>
          <w:rFonts w:cstheme="minorHAnsi"/>
          <w:color w:val="000000"/>
          <w:szCs w:val="22"/>
          <w:lang w:val="fr-FR"/>
        </w:rPr>
        <w:t xml:space="preserve">également </w:t>
      </w:r>
      <w:r w:rsidR="00834BDA" w:rsidRPr="00057CAF">
        <w:rPr>
          <w:rFonts w:cstheme="minorHAnsi"/>
          <w:color w:val="000000"/>
          <w:szCs w:val="22"/>
          <w:lang w:val="fr-FR"/>
        </w:rPr>
        <w:t xml:space="preserve">être </w:t>
      </w:r>
      <w:r w:rsidRPr="00057CAF">
        <w:rPr>
          <w:rFonts w:cstheme="minorHAnsi"/>
          <w:color w:val="000000"/>
          <w:szCs w:val="22"/>
          <w:lang w:val="fr-FR"/>
        </w:rPr>
        <w:t>favorisée à travers les processus d’extensification</w:t>
      </w:r>
      <w:r w:rsidR="00834BDA" w:rsidRPr="00057CAF">
        <w:rPr>
          <w:rFonts w:cstheme="minorHAnsi"/>
          <w:color w:val="000000"/>
          <w:szCs w:val="22"/>
          <w:lang w:val="fr-FR"/>
        </w:rPr>
        <w:t xml:space="preserve"> liés à une éventuelle </w:t>
      </w:r>
      <w:r w:rsidRPr="00057CAF">
        <w:rPr>
          <w:rFonts w:cstheme="minorHAnsi"/>
          <w:color w:val="000000"/>
          <w:szCs w:val="22"/>
          <w:lang w:val="fr-FR"/>
        </w:rPr>
        <w:t xml:space="preserve">réduction du cheptel </w:t>
      </w:r>
      <w:r w:rsidRPr="00057CAF">
        <w:rPr>
          <w:rFonts w:cstheme="minorHAnsi"/>
          <w:szCs w:val="22"/>
          <w:lang w:val="fr-FR"/>
        </w:rPr>
        <w:t>(</w:t>
      </w:r>
      <w:r w:rsidR="00BF3578" w:rsidRPr="00057CAF">
        <w:rPr>
          <w:rFonts w:cstheme="minorHAnsi"/>
          <w:szCs w:val="22"/>
          <w:lang w:val="fr-FR"/>
        </w:rPr>
        <w:t>Annexe 6</w:t>
      </w:r>
      <w:r w:rsidRPr="00057CAF">
        <w:rPr>
          <w:rFonts w:cstheme="minorHAnsi"/>
          <w:szCs w:val="22"/>
          <w:lang w:val="fr-FR"/>
        </w:rPr>
        <w:t>, avec effets sur la fertilisation discutés en CJ9-3) en plus des effets directs des MAEC (</w:t>
      </w:r>
      <w:r w:rsidRPr="00057CAF">
        <w:rPr>
          <w:rFonts w:cstheme="minorHAnsi"/>
          <w:color w:val="000000"/>
          <w:szCs w:val="22"/>
          <w:lang w:val="fr-FR"/>
        </w:rPr>
        <w:t>M10) de prairie. Le maintien d</w:t>
      </w:r>
      <w:r w:rsidR="006F5BCD" w:rsidRPr="00057CAF">
        <w:rPr>
          <w:rFonts w:cstheme="minorHAnsi"/>
          <w:color w:val="000000"/>
          <w:szCs w:val="22"/>
          <w:lang w:val="fr-FR"/>
        </w:rPr>
        <w:t>u</w:t>
      </w:r>
      <w:r w:rsidRPr="00057CAF">
        <w:rPr>
          <w:rFonts w:cstheme="minorHAnsi"/>
          <w:color w:val="000000"/>
          <w:szCs w:val="22"/>
          <w:lang w:val="fr-FR"/>
        </w:rPr>
        <w:t xml:space="preserve"> maillage </w:t>
      </w:r>
      <w:r w:rsidR="006F5BCD" w:rsidRPr="00057CAF">
        <w:rPr>
          <w:rFonts w:cstheme="minorHAnsi"/>
          <w:color w:val="000000"/>
          <w:szCs w:val="22"/>
          <w:lang w:val="fr-FR"/>
        </w:rPr>
        <w:t>est discuté plus loin (paysage écologique)</w:t>
      </w:r>
      <w:r w:rsidRPr="00057CAF">
        <w:rPr>
          <w:rFonts w:cstheme="minorHAnsi"/>
          <w:color w:val="000000"/>
          <w:szCs w:val="22"/>
          <w:lang w:val="fr-FR"/>
        </w:rPr>
        <w:t xml:space="preserve">. L’impact </w:t>
      </w:r>
      <w:r w:rsidR="00EF61F0" w:rsidRPr="00057CAF">
        <w:rPr>
          <w:rFonts w:cstheme="minorHAnsi"/>
          <w:color w:val="000000"/>
          <w:szCs w:val="22"/>
          <w:lang w:val="fr-FR"/>
        </w:rPr>
        <w:t>(</w:t>
      </w:r>
      <w:r w:rsidRPr="00057CAF">
        <w:rPr>
          <w:rFonts w:cstheme="minorHAnsi"/>
          <w:color w:val="000000"/>
          <w:szCs w:val="22"/>
          <w:lang w:val="fr-FR"/>
        </w:rPr>
        <w:t>modeste) du PDR sur la qualité des eaux (Q9) contribue à la capacité d’accueil des plans et cours d’eau envers les espèces aquatiques. Son éventuel impact de diminution des émissions d’ammoniac (Q14) et d’oxydes d’azote (Q26, C26-1) est en principe favorable à la préservation de communautés sensibles à la pollution de l’air.</w:t>
      </w:r>
    </w:p>
    <w:p w:rsidR="0050022D" w:rsidRPr="00057CAF" w:rsidRDefault="0050022D" w:rsidP="00B841BF">
      <w:pPr>
        <w:autoSpaceDE w:val="0"/>
        <w:autoSpaceDN w:val="0"/>
        <w:adjustRightInd w:val="0"/>
        <w:rPr>
          <w:rFonts w:cstheme="minorHAnsi"/>
          <w:szCs w:val="22"/>
          <w:lang w:val="fr-FR"/>
        </w:rPr>
      </w:pPr>
    </w:p>
    <w:p w:rsidR="00B841BF" w:rsidRPr="00057CAF" w:rsidRDefault="00B841BF" w:rsidP="00B841BF">
      <w:pPr>
        <w:autoSpaceDE w:val="0"/>
        <w:autoSpaceDN w:val="0"/>
        <w:adjustRightInd w:val="0"/>
        <w:rPr>
          <w:rFonts w:cstheme="minorHAnsi"/>
          <w:color w:val="000000"/>
          <w:szCs w:val="22"/>
          <w:lang w:val="fr-FR"/>
        </w:rPr>
      </w:pPr>
      <w:r w:rsidRPr="00057CAF">
        <w:rPr>
          <w:rFonts w:cstheme="minorHAnsi"/>
          <w:color w:val="000000"/>
          <w:szCs w:val="22"/>
          <w:lang w:val="fr-FR"/>
        </w:rPr>
        <w:t xml:space="preserve">Cependant le PDR joue également un certain rôle en défaveur de la capacité d’accueil des espaces agricoles vis-à-vis de la flore et de la faune sauvage. En prairies, </w:t>
      </w:r>
      <w:r w:rsidRPr="00057CAF">
        <w:rPr>
          <w:rFonts w:cstheme="minorHAnsi"/>
          <w:szCs w:val="22"/>
          <w:lang w:val="fr-FR"/>
        </w:rPr>
        <w:t xml:space="preserve">MB2-prairies naturelles (M10° n’étant applicable que sur une partie des prairies de l’exploitation, elle favorise la coexistence de prairies intensives et de prairies extensives : il se pose la question de savoir si on ne favorise pas des effets pièges. </w:t>
      </w:r>
      <w:r w:rsidRPr="00057CAF">
        <w:rPr>
          <w:rFonts w:cstheme="minorHAnsi"/>
          <w:color w:val="000000"/>
          <w:szCs w:val="22"/>
          <w:lang w:val="fr-FR"/>
        </w:rPr>
        <w:t xml:space="preserve">M4.1, à travers l’équipement en machines favorise </w:t>
      </w:r>
      <w:r w:rsidR="002033E4" w:rsidRPr="00057CAF">
        <w:rPr>
          <w:rFonts w:cstheme="minorHAnsi"/>
          <w:color w:val="000000"/>
          <w:szCs w:val="22"/>
          <w:highlight w:val="yellow"/>
          <w:lang w:val="fr-FR"/>
        </w:rPr>
        <w:t>en principe</w:t>
      </w:r>
      <w:r w:rsidR="002033E4" w:rsidRPr="00057CAF">
        <w:rPr>
          <w:rFonts w:cstheme="minorHAnsi"/>
          <w:color w:val="000000"/>
          <w:szCs w:val="22"/>
          <w:lang w:val="fr-FR"/>
        </w:rPr>
        <w:t xml:space="preserve"> </w:t>
      </w:r>
      <w:r w:rsidRPr="00057CAF">
        <w:rPr>
          <w:rFonts w:cstheme="minorHAnsi"/>
          <w:color w:val="000000"/>
          <w:szCs w:val="22"/>
          <w:lang w:val="fr-FR"/>
        </w:rPr>
        <w:t xml:space="preserve">une exploitation plus complète de l’espace agricole, une maille paysagère plus lâche (des parcelles plus grandes) et des travaux plus rapides (plus de risques d’accident, transformation totale du couvert sur des grandes surfaces en peu de temps, coupes trop précoces ou rapprochées pour permettre aux espèces d’accomplir leurs cycles de reproduction). De manière générale les aides financières à l’agriculture ou à ses filières facilitent la mise en œuvre de stratégies augmentant l’efficacité de l’exploitation agricole, ce qui a souvent pour effet de créer des conditions moins favorables à la biodiversité des cultures, notamment en réduisant l’offre de ressources alimentaires autres que les plantes cultivées, au détriment de nombreuses espèces sauvages, notamment les oiseaux. Si ces changements ne sont pas induits par le PDR, celui-ci aide les agriculteurs à les suivre, ce qui contribue certainement à la diminution du FBI que le PDR entend par ailleurs favoriser. </w:t>
      </w:r>
    </w:p>
    <w:p w:rsidR="0050022D" w:rsidRPr="00057CAF" w:rsidRDefault="0050022D" w:rsidP="00B841BF">
      <w:pPr>
        <w:autoSpaceDE w:val="0"/>
        <w:autoSpaceDN w:val="0"/>
        <w:adjustRightInd w:val="0"/>
        <w:rPr>
          <w:rFonts w:cstheme="minorHAnsi"/>
          <w:szCs w:val="22"/>
          <w:lang w:val="fr-FR"/>
        </w:rPr>
      </w:pPr>
    </w:p>
    <w:p w:rsidR="00B841BF" w:rsidRPr="00057CAF" w:rsidRDefault="00B841BF" w:rsidP="00B841BF">
      <w:pPr>
        <w:autoSpaceDE w:val="0"/>
        <w:autoSpaceDN w:val="0"/>
        <w:adjustRightInd w:val="0"/>
        <w:rPr>
          <w:rFonts w:cstheme="minorHAnsi"/>
          <w:color w:val="000000"/>
          <w:szCs w:val="22"/>
          <w:lang w:val="fr-FR"/>
        </w:rPr>
      </w:pPr>
      <w:r w:rsidRPr="00057CAF">
        <w:rPr>
          <w:rFonts w:cstheme="minorHAnsi"/>
          <w:b/>
          <w:color w:val="000000"/>
          <w:szCs w:val="22"/>
          <w:lang w:val="fr-FR"/>
        </w:rPr>
        <w:t xml:space="preserve">3. Diversité et abondance des espèces : mammifères. </w:t>
      </w:r>
      <w:r w:rsidRPr="00057CAF">
        <w:rPr>
          <w:rFonts w:cstheme="minorHAnsi"/>
          <w:color w:val="000000"/>
          <w:szCs w:val="22"/>
          <w:lang w:val="fr-FR"/>
        </w:rPr>
        <w:t xml:space="preserve">Le PDR favorise des structures d’habitat favorables aux chauves-souris (haies et alignements d’arbres via MB1a, M10 ; arbres creux à travers M12.2 ; protection de gîtes à travers M7.6 à Vielsalm), il soutient des mesures favorables par exemple à la loutre (voir Q9) et des changements agissant en sens contraires sur les mammifères des terres agricoles (comme le lièvre), selon des modalités comparables à celles qui affectent les oiseaux des campagnes (voir ci-dessous). Les petits rongeurs (campagnols) sont également affectés, pouvant bénéficier de certaines MAEC, ce qui bénéficie à leurs prédateurs mais peut, à tort ou à </w:t>
      </w:r>
      <w:r w:rsidRPr="00057CAF">
        <w:rPr>
          <w:rFonts w:cstheme="minorHAnsi"/>
          <w:color w:val="000000"/>
          <w:szCs w:val="22"/>
          <w:lang w:val="fr-FR"/>
        </w:rPr>
        <w:lastRenderedPageBreak/>
        <w:t xml:space="preserve">raison, </w:t>
      </w:r>
      <w:r w:rsidR="00517507" w:rsidRPr="00057CAF">
        <w:rPr>
          <w:rFonts w:cstheme="minorHAnsi"/>
          <w:color w:val="000000"/>
          <w:szCs w:val="22"/>
          <w:lang w:val="fr-FR"/>
        </w:rPr>
        <w:t xml:space="preserve">être </w:t>
      </w:r>
      <w:r w:rsidRPr="00057CAF">
        <w:rPr>
          <w:rFonts w:cstheme="minorHAnsi"/>
          <w:color w:val="000000"/>
          <w:szCs w:val="22"/>
          <w:lang w:val="fr-FR"/>
        </w:rPr>
        <w:t xml:space="preserve">déploré par les agriculteurs. Sans en être la cause principale, le PDR </w:t>
      </w:r>
      <w:r w:rsidR="00FD692F" w:rsidRPr="00057CAF">
        <w:rPr>
          <w:rFonts w:cstheme="minorHAnsi"/>
          <w:color w:val="000000"/>
          <w:szCs w:val="22"/>
          <w:lang w:val="fr-FR"/>
        </w:rPr>
        <w:t xml:space="preserve">pourrait soutenir </w:t>
      </w:r>
      <w:r w:rsidRPr="00057CAF">
        <w:rPr>
          <w:rFonts w:cstheme="minorHAnsi"/>
          <w:color w:val="000000"/>
          <w:szCs w:val="22"/>
          <w:lang w:val="fr-FR"/>
        </w:rPr>
        <w:t xml:space="preserve">les cultures hautes favorables à la prolifération des sangliers, à savoir le maïs, le colza et la moutarde (ELO, 2012 ; </w:t>
      </w:r>
      <w:proofErr w:type="spellStart"/>
      <w:r w:rsidRPr="00057CAF">
        <w:rPr>
          <w:rFonts w:cstheme="minorHAnsi"/>
          <w:color w:val="000000"/>
          <w:szCs w:val="22"/>
          <w:lang w:val="fr-FR"/>
        </w:rPr>
        <w:t>Leppmann</w:t>
      </w:r>
      <w:proofErr w:type="spellEnd"/>
      <w:r w:rsidRPr="00057CAF">
        <w:rPr>
          <w:rFonts w:cstheme="minorHAnsi"/>
          <w:color w:val="000000"/>
          <w:szCs w:val="22"/>
          <w:lang w:val="fr-FR"/>
        </w:rPr>
        <w:t xml:space="preserve"> </w:t>
      </w:r>
      <w:r w:rsidRPr="00057CAF">
        <w:rPr>
          <w:rFonts w:cstheme="minorHAnsi"/>
          <w:i/>
          <w:color w:val="000000"/>
          <w:szCs w:val="22"/>
          <w:lang w:val="fr-FR"/>
        </w:rPr>
        <w:t>et al.</w:t>
      </w:r>
      <w:r w:rsidRPr="00057CAF">
        <w:rPr>
          <w:rFonts w:cstheme="minorHAnsi"/>
          <w:color w:val="000000"/>
          <w:szCs w:val="22"/>
          <w:lang w:val="fr-FR"/>
        </w:rPr>
        <w:t xml:space="preserve">, 2012), avec diverses retombées négatives sur la biodiversité (outre le problème de la peste porcine africaine apparu en septembre 2018) : le PDR soutient </w:t>
      </w:r>
      <w:r w:rsidR="002033E4" w:rsidRPr="00057CAF">
        <w:rPr>
          <w:rFonts w:cstheme="minorHAnsi"/>
          <w:color w:val="000000"/>
          <w:szCs w:val="22"/>
          <w:lang w:val="fr-FR"/>
        </w:rPr>
        <w:t>potentiellement (</w:t>
      </w:r>
      <w:r w:rsidRPr="00057CAF">
        <w:rPr>
          <w:rFonts w:cstheme="minorHAnsi"/>
          <w:color w:val="000000"/>
          <w:szCs w:val="22"/>
          <w:lang w:val="fr-FR"/>
        </w:rPr>
        <w:t>sans intentionnalité particulière</w:t>
      </w:r>
      <w:r w:rsidR="002033E4" w:rsidRPr="00057CAF">
        <w:rPr>
          <w:rFonts w:cstheme="minorHAnsi"/>
          <w:color w:val="000000"/>
          <w:szCs w:val="22"/>
          <w:lang w:val="fr-FR"/>
        </w:rPr>
        <w:t>)</w:t>
      </w:r>
      <w:r w:rsidRPr="00057CAF">
        <w:rPr>
          <w:rFonts w:cstheme="minorHAnsi"/>
          <w:color w:val="000000"/>
          <w:szCs w:val="22"/>
          <w:lang w:val="fr-FR"/>
        </w:rPr>
        <w:t xml:space="preserve"> l’expansion du maïs et du colza dans la mesure où il aide les agriculteurs à s’orienter vers les cultures en vogue (via M4.1), il soutien</w:t>
      </w:r>
      <w:r w:rsidR="00FD692F" w:rsidRPr="00057CAF">
        <w:rPr>
          <w:rFonts w:cstheme="minorHAnsi"/>
          <w:color w:val="000000"/>
          <w:szCs w:val="22"/>
          <w:lang w:val="fr-FR"/>
        </w:rPr>
        <w:t>drait</w:t>
      </w:r>
      <w:r w:rsidRPr="00057CAF">
        <w:rPr>
          <w:rFonts w:cstheme="minorHAnsi"/>
          <w:color w:val="000000"/>
          <w:szCs w:val="22"/>
          <w:lang w:val="fr-FR"/>
        </w:rPr>
        <w:t xml:space="preserve"> plus spécifiquement </w:t>
      </w:r>
      <w:r w:rsidR="00681631" w:rsidRPr="00057CAF">
        <w:rPr>
          <w:rFonts w:cstheme="minorHAnsi"/>
          <w:color w:val="000000"/>
          <w:szCs w:val="22"/>
          <w:lang w:val="fr-FR"/>
        </w:rPr>
        <w:t>le maïs</w:t>
      </w:r>
      <w:r w:rsidR="00FD692F" w:rsidRPr="00057CAF">
        <w:rPr>
          <w:rFonts w:cstheme="minorHAnsi"/>
          <w:color w:val="000000"/>
          <w:szCs w:val="22"/>
          <w:lang w:val="fr-FR"/>
        </w:rPr>
        <w:t xml:space="preserve"> si son impact sur la </w:t>
      </w:r>
      <w:proofErr w:type="spellStart"/>
      <w:r w:rsidRPr="00057CAF">
        <w:rPr>
          <w:rFonts w:cstheme="minorHAnsi"/>
          <w:color w:val="000000"/>
          <w:szCs w:val="22"/>
          <w:lang w:val="fr-FR"/>
        </w:rPr>
        <w:t>bio-méthanisation</w:t>
      </w:r>
      <w:proofErr w:type="spellEnd"/>
      <w:r w:rsidRPr="00057CAF">
        <w:rPr>
          <w:rFonts w:cstheme="minorHAnsi"/>
          <w:color w:val="000000"/>
          <w:szCs w:val="22"/>
          <w:lang w:val="fr-FR"/>
        </w:rPr>
        <w:t xml:space="preserve"> (M4.1, M6.4) </w:t>
      </w:r>
      <w:r w:rsidR="00FD692F" w:rsidRPr="00057CAF">
        <w:rPr>
          <w:rFonts w:cstheme="minorHAnsi"/>
          <w:color w:val="000000"/>
          <w:szCs w:val="22"/>
          <w:lang w:val="fr-FR"/>
        </w:rPr>
        <w:t>avait été sélectif </w:t>
      </w:r>
      <w:r w:rsidRPr="00057CAF">
        <w:rPr>
          <w:rFonts w:cstheme="minorHAnsi"/>
          <w:color w:val="000000"/>
          <w:szCs w:val="22"/>
          <w:lang w:val="fr-FR"/>
        </w:rPr>
        <w:t xml:space="preserve">. </w:t>
      </w:r>
      <w:r w:rsidR="00FD692F" w:rsidRPr="00057CAF">
        <w:rPr>
          <w:rFonts w:cstheme="minorHAnsi"/>
          <w:color w:val="000000"/>
          <w:szCs w:val="22"/>
          <w:lang w:val="fr-FR"/>
        </w:rPr>
        <w:t xml:space="preserve">Mais les effets sur le maïs dépendent aussi de son influence sur la demande fourragère, qui est incertaine. </w:t>
      </w:r>
      <w:r w:rsidRPr="00057CAF">
        <w:rPr>
          <w:rFonts w:cstheme="minorHAnsi"/>
          <w:color w:val="000000"/>
          <w:szCs w:val="22"/>
          <w:lang w:val="fr-FR"/>
        </w:rPr>
        <w:t xml:space="preserve">Le maïs affecterait aussi la survie du hamster (espèce menacée en Wallonie), à travers la qualité de l’alimentation (Tissier </w:t>
      </w:r>
      <w:r w:rsidRPr="00057CAF">
        <w:rPr>
          <w:rFonts w:cstheme="minorHAnsi"/>
          <w:i/>
          <w:color w:val="000000"/>
          <w:szCs w:val="22"/>
          <w:lang w:val="fr-FR"/>
        </w:rPr>
        <w:t>et al.</w:t>
      </w:r>
      <w:r w:rsidRPr="00057CAF">
        <w:rPr>
          <w:rFonts w:cstheme="minorHAnsi"/>
          <w:color w:val="000000"/>
          <w:szCs w:val="22"/>
          <w:lang w:val="fr-FR"/>
        </w:rPr>
        <w:t>, 2017)</w:t>
      </w:r>
      <w:r w:rsidR="00FD692F" w:rsidRPr="00057CAF">
        <w:rPr>
          <w:rFonts w:cstheme="minorHAnsi"/>
          <w:color w:val="000000"/>
          <w:szCs w:val="22"/>
          <w:lang w:val="fr-FR"/>
        </w:rPr>
        <w:t>. Le PDR soutient indirectement la moutarde par les conditionnalités liant les paiements aux CIPAN.</w:t>
      </w:r>
    </w:p>
    <w:p w:rsidR="00B841BF" w:rsidRPr="00B75D71" w:rsidRDefault="00B841BF" w:rsidP="0050022D">
      <w:pPr>
        <w:pStyle w:val="Titre3"/>
      </w:pPr>
      <w:bookmarkStart w:id="75" w:name="_Toc11333805"/>
      <w:bookmarkStart w:id="76" w:name="_Toc25688777"/>
      <w:r w:rsidRPr="00B75D71">
        <w:t>4. Diversité et abondance des espèces : oiseaux.</w:t>
      </w:r>
      <w:bookmarkEnd w:id="75"/>
      <w:bookmarkEnd w:id="76"/>
      <w:r w:rsidRPr="00B75D71">
        <w:t xml:space="preserve"> </w:t>
      </w:r>
    </w:p>
    <w:p w:rsidR="00B841BF" w:rsidRPr="00057CAF" w:rsidRDefault="00B841BF" w:rsidP="00B841BF">
      <w:pPr>
        <w:autoSpaceDE w:val="0"/>
        <w:autoSpaceDN w:val="0"/>
        <w:adjustRightInd w:val="0"/>
        <w:rPr>
          <w:rFonts w:cstheme="minorHAnsi"/>
          <w:color w:val="000000"/>
          <w:szCs w:val="22"/>
          <w:u w:val="single"/>
          <w:lang w:val="fr-FR"/>
        </w:rPr>
      </w:pPr>
      <w:r w:rsidRPr="00057CAF">
        <w:rPr>
          <w:rFonts w:cstheme="minorHAnsi"/>
          <w:color w:val="000000"/>
          <w:szCs w:val="22"/>
          <w:u w:val="single"/>
          <w:lang w:val="fr-FR"/>
        </w:rPr>
        <w:t>4a. Oiseaux des milieux agricoles</w:t>
      </w:r>
    </w:p>
    <w:p w:rsidR="00440BE9" w:rsidRPr="00057CAF" w:rsidRDefault="00B841BF" w:rsidP="00B841BF">
      <w:pPr>
        <w:autoSpaceDE w:val="0"/>
        <w:autoSpaceDN w:val="0"/>
        <w:adjustRightInd w:val="0"/>
        <w:rPr>
          <w:rFonts w:cstheme="minorHAnsi"/>
          <w:szCs w:val="22"/>
          <w:lang w:val="fr-FR"/>
        </w:rPr>
      </w:pPr>
      <w:r w:rsidRPr="00057CAF">
        <w:rPr>
          <w:rFonts w:cstheme="minorHAnsi"/>
          <w:color w:val="000000"/>
          <w:szCs w:val="22"/>
          <w:lang w:val="fr-FR"/>
        </w:rPr>
        <w:t xml:space="preserve">Les tendances constatées des populations d’oiseaux sont généralement négatives dans les espaces agricoles (comme montré par le FBI : CJ28-2), et particulièrement dans les cultures. La situation est moins défavorable dans les paysages dominés par les prairies </w:t>
      </w:r>
      <w:r w:rsidRPr="00057CAF">
        <w:rPr>
          <w:rFonts w:cstheme="minorHAnsi"/>
          <w:szCs w:val="22"/>
          <w:lang w:val="fr-FR"/>
        </w:rPr>
        <w:t>(P</w:t>
      </w:r>
      <w:r w:rsidRPr="00057CAF">
        <w:rPr>
          <w:rFonts w:cstheme="minorHAnsi"/>
          <w:smallCaps/>
          <w:szCs w:val="22"/>
          <w:lang w:val="fr-FR"/>
        </w:rPr>
        <w:t>aquet</w:t>
      </w:r>
      <w:r w:rsidRPr="00057CAF">
        <w:rPr>
          <w:rFonts w:cstheme="minorHAnsi"/>
          <w:szCs w:val="22"/>
          <w:lang w:val="fr-FR"/>
        </w:rPr>
        <w:t xml:space="preserve"> </w:t>
      </w:r>
      <w:r w:rsidRPr="00057CAF">
        <w:rPr>
          <w:rFonts w:cstheme="minorHAnsi"/>
          <w:i/>
          <w:szCs w:val="22"/>
          <w:lang w:val="fr-FR"/>
        </w:rPr>
        <w:t>et al.,</w:t>
      </w:r>
      <w:r w:rsidRPr="00057CAF">
        <w:rPr>
          <w:rFonts w:cstheme="minorHAnsi"/>
          <w:szCs w:val="22"/>
          <w:lang w:val="fr-FR"/>
        </w:rPr>
        <w:t xml:space="preserve"> 2014 ; L</w:t>
      </w:r>
      <w:r w:rsidRPr="00057CAF">
        <w:rPr>
          <w:rFonts w:cstheme="minorHAnsi"/>
          <w:smallCaps/>
          <w:szCs w:val="22"/>
          <w:lang w:val="fr-FR"/>
        </w:rPr>
        <w:t>audelout</w:t>
      </w:r>
      <w:r w:rsidRPr="00057CAF">
        <w:rPr>
          <w:rFonts w:cstheme="minorHAnsi"/>
          <w:szCs w:val="22"/>
          <w:lang w:val="fr-FR"/>
        </w:rPr>
        <w:t xml:space="preserve"> </w:t>
      </w:r>
      <w:r w:rsidRPr="00057CAF">
        <w:rPr>
          <w:rFonts w:cstheme="minorHAnsi"/>
          <w:i/>
          <w:szCs w:val="22"/>
          <w:lang w:val="fr-FR"/>
        </w:rPr>
        <w:t>et al.,</w:t>
      </w:r>
      <w:r w:rsidRPr="00057CAF">
        <w:rPr>
          <w:rFonts w:cstheme="minorHAnsi"/>
          <w:szCs w:val="22"/>
          <w:lang w:val="fr-FR"/>
        </w:rPr>
        <w:t xml:space="preserve"> 2018</w:t>
      </w:r>
      <w:r w:rsidR="00F5141B" w:rsidRPr="00057CAF">
        <w:rPr>
          <w:rFonts w:cstheme="minorHAnsi"/>
          <w:szCs w:val="22"/>
          <w:lang w:val="fr-FR"/>
        </w:rPr>
        <w:t xml:space="preserve"> et 2019</w:t>
      </w:r>
      <w:r w:rsidRPr="00057CAF">
        <w:rPr>
          <w:rFonts w:cstheme="minorHAnsi"/>
          <w:szCs w:val="22"/>
          <w:lang w:val="fr-FR"/>
        </w:rPr>
        <w:t xml:space="preserve">). </w:t>
      </w:r>
    </w:p>
    <w:p w:rsidR="0050022D" w:rsidRPr="00057CAF" w:rsidRDefault="0050022D" w:rsidP="00B841BF">
      <w:pPr>
        <w:autoSpaceDE w:val="0"/>
        <w:autoSpaceDN w:val="0"/>
        <w:adjustRightInd w:val="0"/>
        <w:rPr>
          <w:rFonts w:cstheme="minorHAnsi"/>
          <w:szCs w:val="22"/>
          <w:lang w:val="fr-FR"/>
        </w:rPr>
      </w:pPr>
    </w:p>
    <w:p w:rsidR="00B841BF" w:rsidRPr="00057CAF" w:rsidRDefault="00B841BF" w:rsidP="00B841BF">
      <w:pPr>
        <w:autoSpaceDE w:val="0"/>
        <w:autoSpaceDN w:val="0"/>
        <w:adjustRightInd w:val="0"/>
        <w:rPr>
          <w:rFonts w:cstheme="minorHAnsi"/>
          <w:szCs w:val="22"/>
          <w:lang w:val="fr-FR"/>
        </w:rPr>
      </w:pPr>
      <w:r w:rsidRPr="00057CAF">
        <w:rPr>
          <w:rFonts w:cstheme="minorHAnsi"/>
          <w:szCs w:val="22"/>
          <w:lang w:val="fr-FR"/>
        </w:rPr>
        <w:t xml:space="preserve">Le choix des espèces composant le FBI influence ce diagnostic, l’indice des prairies étant positivement influencé par l’incorporation du </w:t>
      </w:r>
      <w:proofErr w:type="spellStart"/>
      <w:r w:rsidRPr="00057CAF">
        <w:rPr>
          <w:rFonts w:cstheme="minorHAnsi"/>
          <w:szCs w:val="22"/>
          <w:lang w:val="fr-FR"/>
        </w:rPr>
        <w:t>Tarier</w:t>
      </w:r>
      <w:proofErr w:type="spellEnd"/>
      <w:r w:rsidRPr="00057CAF">
        <w:rPr>
          <w:rFonts w:cstheme="minorHAnsi"/>
          <w:szCs w:val="22"/>
          <w:lang w:val="fr-FR"/>
        </w:rPr>
        <w:t xml:space="preserve"> pâtre et par l’absence de la Pie-grièche grise dans le calcul de l’indice. D’après L</w:t>
      </w:r>
      <w:r w:rsidRPr="00057CAF">
        <w:rPr>
          <w:rFonts w:cstheme="minorHAnsi"/>
          <w:smallCaps/>
          <w:szCs w:val="22"/>
          <w:lang w:val="fr-FR"/>
        </w:rPr>
        <w:t>audelout</w:t>
      </w:r>
      <w:r w:rsidRPr="00057CAF">
        <w:rPr>
          <w:rFonts w:cstheme="minorHAnsi"/>
          <w:szCs w:val="22"/>
          <w:lang w:val="fr-FR"/>
        </w:rPr>
        <w:t xml:space="preserve"> </w:t>
      </w:r>
      <w:r w:rsidR="00F5141B" w:rsidRPr="00057CAF">
        <w:rPr>
          <w:rFonts w:cstheme="minorHAnsi"/>
          <w:i/>
          <w:szCs w:val="22"/>
          <w:lang w:val="fr-FR"/>
        </w:rPr>
        <w:t>et al.</w:t>
      </w:r>
      <w:r w:rsidRPr="00057CAF">
        <w:rPr>
          <w:rFonts w:cstheme="minorHAnsi"/>
          <w:szCs w:val="22"/>
          <w:lang w:val="fr-FR"/>
        </w:rPr>
        <w:t xml:space="preserve"> (2018)</w:t>
      </w:r>
      <w:r w:rsidR="00F5141B" w:rsidRPr="00057CAF">
        <w:rPr>
          <w:rFonts w:cstheme="minorHAnsi"/>
          <w:szCs w:val="22"/>
          <w:lang w:val="fr-FR"/>
        </w:rPr>
        <w:t>,</w:t>
      </w:r>
      <w:r w:rsidRPr="00057CAF">
        <w:rPr>
          <w:rFonts w:cstheme="minorHAnsi"/>
          <w:szCs w:val="22"/>
          <w:lang w:val="fr-FR"/>
        </w:rPr>
        <w:t xml:space="preserve"> le </w:t>
      </w:r>
      <w:proofErr w:type="spellStart"/>
      <w:r w:rsidRPr="00057CAF">
        <w:rPr>
          <w:rFonts w:cstheme="minorHAnsi"/>
          <w:szCs w:val="22"/>
          <w:lang w:val="fr-FR"/>
        </w:rPr>
        <w:t>Tarier</w:t>
      </w:r>
      <w:proofErr w:type="spellEnd"/>
      <w:r w:rsidRPr="00057CAF">
        <w:rPr>
          <w:rFonts w:cstheme="minorHAnsi"/>
          <w:szCs w:val="22"/>
          <w:lang w:val="fr-FR"/>
        </w:rPr>
        <w:t xml:space="preserve"> pâtre serait surtout favorisé par le climat et s’étend surtout à l’écart des MAEC</w:t>
      </w:r>
      <w:r w:rsidR="00440BE9" w:rsidRPr="00057CAF">
        <w:rPr>
          <w:rFonts w:cstheme="minorHAnsi"/>
          <w:szCs w:val="22"/>
          <w:lang w:val="fr-FR"/>
        </w:rPr>
        <w:t xml:space="preserve"> (bien que nous puissions </w:t>
      </w:r>
      <w:r w:rsidRPr="00057CAF">
        <w:rPr>
          <w:rFonts w:cstheme="minorHAnsi"/>
          <w:szCs w:val="22"/>
          <w:lang w:val="fr-FR"/>
        </w:rPr>
        <w:t xml:space="preserve">suggérer que c’est </w:t>
      </w:r>
      <w:r w:rsidR="00F5141B" w:rsidRPr="00057CAF">
        <w:rPr>
          <w:rFonts w:cstheme="minorHAnsi"/>
          <w:szCs w:val="22"/>
          <w:lang w:val="fr-FR"/>
        </w:rPr>
        <w:t xml:space="preserve">en partie </w:t>
      </w:r>
      <w:r w:rsidRPr="00057CAF">
        <w:rPr>
          <w:rFonts w:cstheme="minorHAnsi"/>
          <w:szCs w:val="22"/>
          <w:lang w:val="fr-FR"/>
        </w:rPr>
        <w:t>grâce aux MAE qu’il avait conservé une population pouvant se répandre par la suite</w:t>
      </w:r>
      <w:r w:rsidR="00440BE9" w:rsidRPr="00057CAF">
        <w:rPr>
          <w:rFonts w:cstheme="minorHAnsi"/>
          <w:szCs w:val="22"/>
          <w:lang w:val="fr-FR"/>
        </w:rPr>
        <w:t>)</w:t>
      </w:r>
      <w:r w:rsidRPr="00057CAF">
        <w:rPr>
          <w:rFonts w:cstheme="minorHAnsi"/>
          <w:szCs w:val="22"/>
          <w:lang w:val="fr-FR"/>
        </w:rPr>
        <w:t>.</w:t>
      </w:r>
      <w:r w:rsidR="00440BE9" w:rsidRPr="00057CAF">
        <w:rPr>
          <w:rFonts w:cstheme="minorHAnsi"/>
          <w:szCs w:val="22"/>
          <w:lang w:val="fr-FR"/>
        </w:rPr>
        <w:t xml:space="preserve"> D’un autre côté la Corneille noire est absente du PBI alors qu’elle l’aurait tiré vers le haut, notamment dans les cultures.</w:t>
      </w:r>
    </w:p>
    <w:p w:rsidR="0050022D" w:rsidRPr="00057CAF" w:rsidRDefault="0050022D" w:rsidP="00B841BF">
      <w:pPr>
        <w:autoSpaceDE w:val="0"/>
        <w:autoSpaceDN w:val="0"/>
        <w:adjustRightInd w:val="0"/>
        <w:rPr>
          <w:rFonts w:cstheme="minorHAnsi"/>
          <w:szCs w:val="22"/>
          <w:lang w:val="fr-FR"/>
        </w:rPr>
      </w:pPr>
    </w:p>
    <w:p w:rsidR="00B841BF" w:rsidRPr="00057CAF" w:rsidRDefault="00B841BF" w:rsidP="00B841BF">
      <w:pPr>
        <w:autoSpaceDE w:val="0"/>
        <w:autoSpaceDN w:val="0"/>
        <w:adjustRightInd w:val="0"/>
        <w:rPr>
          <w:rFonts w:cstheme="minorHAnsi"/>
          <w:szCs w:val="22"/>
          <w:lang w:val="fr-FR"/>
        </w:rPr>
      </w:pPr>
      <w:r w:rsidRPr="00057CAF">
        <w:rPr>
          <w:rFonts w:cstheme="minorHAnsi"/>
          <w:szCs w:val="22"/>
          <w:lang w:val="fr-FR"/>
        </w:rPr>
        <w:t xml:space="preserve">L’interprétation des causes de variation du FBI </w:t>
      </w:r>
      <w:r w:rsidR="00EB3B95" w:rsidRPr="00057CAF">
        <w:rPr>
          <w:rFonts w:cstheme="minorHAnsi"/>
          <w:szCs w:val="22"/>
          <w:lang w:val="fr-FR"/>
        </w:rPr>
        <w:t xml:space="preserve">doit tenir </w:t>
      </w:r>
      <w:r w:rsidRPr="00057CAF">
        <w:rPr>
          <w:rFonts w:cstheme="minorHAnsi"/>
          <w:szCs w:val="22"/>
          <w:lang w:val="fr-FR"/>
        </w:rPr>
        <w:t>compte de la multiplicité des facteurs en jeu (certains affectés par le PDR, d’autres non, comme l’abondance des corvidés</w:t>
      </w:r>
      <w:r w:rsidR="00EB3B95" w:rsidRPr="00057CAF">
        <w:rPr>
          <w:rFonts w:cstheme="minorHAnsi"/>
          <w:szCs w:val="22"/>
          <w:lang w:val="fr-FR"/>
        </w:rPr>
        <w:t>, le climat et les aléas de la migration</w:t>
      </w:r>
      <w:r w:rsidRPr="00057CAF">
        <w:rPr>
          <w:rFonts w:cstheme="minorHAnsi"/>
          <w:szCs w:val="22"/>
          <w:lang w:val="fr-FR"/>
        </w:rPr>
        <w:t>), de la possibilité de décalages chronologiques entre causes et conséquences, et de la grande vulnérabilité des espèces de milieux ouverts aux influences externes à leur territoire de reproduction (L</w:t>
      </w:r>
      <w:r w:rsidRPr="00057CAF">
        <w:rPr>
          <w:rFonts w:cstheme="minorHAnsi"/>
          <w:smallCaps/>
          <w:szCs w:val="22"/>
          <w:lang w:val="fr-FR"/>
        </w:rPr>
        <w:t>edant</w:t>
      </w:r>
      <w:r w:rsidRPr="00057CAF">
        <w:rPr>
          <w:rFonts w:cstheme="minorHAnsi"/>
          <w:szCs w:val="22"/>
          <w:lang w:val="fr-FR"/>
        </w:rPr>
        <w:t>, 2014).</w:t>
      </w:r>
      <w:r w:rsidR="001C0DDF" w:rsidRPr="00057CAF">
        <w:rPr>
          <w:rFonts w:cstheme="minorHAnsi"/>
          <w:color w:val="000000"/>
          <w:szCs w:val="22"/>
          <w:lang w:val="fr-FR"/>
        </w:rPr>
        <w:t xml:space="preserve"> L</w:t>
      </w:r>
      <w:r w:rsidR="001C0DDF" w:rsidRPr="00057CAF">
        <w:rPr>
          <w:rFonts w:cstheme="minorHAnsi"/>
          <w:szCs w:val="22"/>
          <w:lang w:val="fr-FR"/>
        </w:rPr>
        <w:t>es tendances du FBI ne disent rien de la situation hypothétique sans PDR de sorte que le déclin n’exclut pas l’hypothèse d’un effet positif du PDR.</w:t>
      </w:r>
    </w:p>
    <w:p w:rsidR="0050022D" w:rsidRPr="00057CAF" w:rsidRDefault="0050022D" w:rsidP="00B841BF">
      <w:pPr>
        <w:autoSpaceDE w:val="0"/>
        <w:autoSpaceDN w:val="0"/>
        <w:adjustRightInd w:val="0"/>
        <w:rPr>
          <w:rFonts w:cstheme="minorHAnsi"/>
          <w:szCs w:val="22"/>
          <w:lang w:val="fr-FR"/>
        </w:rPr>
      </w:pPr>
    </w:p>
    <w:p w:rsidR="001C0DDF" w:rsidRPr="00057CAF" w:rsidRDefault="001C0DDF" w:rsidP="00B841BF">
      <w:pPr>
        <w:autoSpaceDE w:val="0"/>
        <w:autoSpaceDN w:val="0"/>
        <w:adjustRightInd w:val="0"/>
        <w:rPr>
          <w:rFonts w:cstheme="minorHAnsi"/>
          <w:szCs w:val="22"/>
          <w:lang w:val="fr-FR"/>
        </w:rPr>
      </w:pPr>
      <w:r w:rsidRPr="00057CAF">
        <w:rPr>
          <w:rFonts w:cstheme="minorHAnsi"/>
          <w:szCs w:val="22"/>
          <w:lang w:val="fr-FR"/>
        </w:rPr>
        <w:t xml:space="preserve">Un constat intéressant du point de vue du PDR est la meilleure tenue des oiseaux nichant dans les arbres ou dans une autre position surélevée par rapport aux oiseaux nichant au sol. Ce constat vaut pour l’ensemble des milieux, mais avec des explications différentes : la prolifération des sangliers joue certainement un rôle en forêt, tandis qu’en agriculture </w:t>
      </w:r>
      <w:r w:rsidR="00BA03B7" w:rsidRPr="00057CAF">
        <w:rPr>
          <w:rFonts w:cstheme="minorHAnsi"/>
          <w:szCs w:val="22"/>
          <w:lang w:val="fr-FR"/>
        </w:rPr>
        <w:t>les causes se situeraient davantage au niveau d</w:t>
      </w:r>
      <w:r w:rsidRPr="00057CAF">
        <w:rPr>
          <w:rFonts w:cstheme="minorHAnsi"/>
          <w:szCs w:val="22"/>
          <w:lang w:val="fr-FR"/>
        </w:rPr>
        <w:t xml:space="preserve">es travaux agricoles, </w:t>
      </w:r>
      <w:r w:rsidR="00BA03B7" w:rsidRPr="00057CAF">
        <w:rPr>
          <w:rFonts w:cstheme="minorHAnsi"/>
          <w:szCs w:val="22"/>
          <w:lang w:val="fr-FR"/>
        </w:rPr>
        <w:t xml:space="preserve">de </w:t>
      </w:r>
      <w:r w:rsidRPr="00057CAF">
        <w:rPr>
          <w:rFonts w:cstheme="minorHAnsi"/>
          <w:szCs w:val="22"/>
          <w:lang w:val="fr-FR"/>
        </w:rPr>
        <w:t xml:space="preserve">la raréfaction des espaces enherbés non cultivés et </w:t>
      </w:r>
      <w:r w:rsidR="00BA03B7" w:rsidRPr="00057CAF">
        <w:rPr>
          <w:rFonts w:cstheme="minorHAnsi"/>
          <w:szCs w:val="22"/>
          <w:lang w:val="fr-FR"/>
        </w:rPr>
        <w:t xml:space="preserve">de la hausse de prédation résultant de l’effet combiné des prédateurs (dont la corneille) et </w:t>
      </w:r>
      <w:r w:rsidRPr="00057CAF">
        <w:rPr>
          <w:rFonts w:cstheme="minorHAnsi"/>
          <w:szCs w:val="22"/>
          <w:lang w:val="fr-FR"/>
        </w:rPr>
        <w:t>les évolutions du couvert herbacé</w:t>
      </w:r>
      <w:r w:rsidR="00BA03B7" w:rsidRPr="00057CAF">
        <w:rPr>
          <w:rFonts w:cstheme="minorHAnsi"/>
          <w:szCs w:val="22"/>
          <w:lang w:val="fr-FR"/>
        </w:rPr>
        <w:t>.</w:t>
      </w:r>
      <w:r w:rsidRPr="00057CAF">
        <w:rPr>
          <w:rFonts w:cstheme="minorHAnsi"/>
          <w:szCs w:val="22"/>
          <w:lang w:val="fr-FR"/>
        </w:rPr>
        <w:t xml:space="preserve"> </w:t>
      </w:r>
      <w:r w:rsidR="00BA03B7" w:rsidRPr="00057CAF">
        <w:rPr>
          <w:rFonts w:cstheme="minorHAnsi"/>
          <w:szCs w:val="22"/>
          <w:lang w:val="fr-FR"/>
        </w:rPr>
        <w:t>Ce sont des aspects sur lequel le PDR a peu d’effet, mais auxquels il apporte une réponse, partielle et insuffisante, à travers certaines MAEC, comme les bandes aménagées.</w:t>
      </w:r>
    </w:p>
    <w:p w:rsidR="0050022D" w:rsidRPr="00057CAF" w:rsidRDefault="0050022D" w:rsidP="0050022D">
      <w:pPr>
        <w:pStyle w:val="ChartTitle"/>
        <w:rPr>
          <w:lang w:val="fr-FR"/>
        </w:rPr>
      </w:pPr>
      <w:bookmarkStart w:id="77" w:name="_Ref5098921"/>
      <w:r w:rsidRPr="00057CAF">
        <w:rPr>
          <w:lang w:val="fr-FR"/>
        </w:rPr>
        <w:br w:type="page"/>
      </w:r>
    </w:p>
    <w:p w:rsidR="00440BE9" w:rsidRDefault="00440BE9" w:rsidP="0050022D">
      <w:pPr>
        <w:pStyle w:val="ChartTitle"/>
      </w:pPr>
      <w:r w:rsidRPr="00057CAF">
        <w:rPr>
          <w:lang w:val="fr-FR"/>
        </w:rPr>
        <w:lastRenderedPageBreak/>
        <w:t>Figure</w:t>
      </w:r>
      <w:bookmarkEnd w:id="77"/>
      <w:r w:rsidRPr="00057CAF">
        <w:rPr>
          <w:lang w:val="fr-FR"/>
        </w:rPr>
        <w:t xml:space="preserve"> : Indicateurs multispécifiques basés sur la localisation du nid des espèces. En haut à gauche, tendance moyenne des espèces nichant au sol (tous habitats) ; en haut à droite, nichant au sol et liés aux milieux agricoles ; en bas à gauche, nichant dans les arbres ou les buissons, cavernicoles ou non (tout habitat) ; en bas à droite, espèces agricoles ne nichant pas au sol. </w:t>
      </w:r>
      <w:r>
        <w:t>(tiré de Laudelout et al. 209-</w:t>
      </w:r>
    </w:p>
    <w:p w:rsidR="0050022D" w:rsidRDefault="0050022D" w:rsidP="0050022D">
      <w:pPr>
        <w:jc w:val="center"/>
      </w:pPr>
      <w:r>
        <w:rPr>
          <w:noProof/>
          <w:lang w:val="fr-FR"/>
        </w:rPr>
        <w:drawing>
          <wp:inline distT="0" distB="0" distL="0" distR="0" wp14:anchorId="1EF664BB" wp14:editId="6D832F20">
            <wp:extent cx="2181600" cy="1540800"/>
            <wp:effectExtent l="0" t="0" r="0" b="254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ds au sol_GRAPH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1600" cy="1540800"/>
                    </a:xfrm>
                    <a:prstGeom prst="rect">
                      <a:avLst/>
                    </a:prstGeom>
                  </pic:spPr>
                </pic:pic>
              </a:graphicData>
            </a:graphic>
          </wp:inline>
        </w:drawing>
      </w:r>
      <w:r>
        <w:rPr>
          <w:noProof/>
          <w:lang w:val="fr-FR"/>
        </w:rPr>
        <w:drawing>
          <wp:inline distT="0" distB="0" distL="0" distR="0" wp14:anchorId="5CB3CC9E" wp14:editId="78BDBC1C">
            <wp:extent cx="2160000" cy="15264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oles nichant au sol_GRAPH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526400"/>
                    </a:xfrm>
                    <a:prstGeom prst="rect">
                      <a:avLst/>
                    </a:prstGeom>
                  </pic:spPr>
                </pic:pic>
              </a:graphicData>
            </a:graphic>
          </wp:inline>
        </w:drawing>
      </w:r>
    </w:p>
    <w:p w:rsidR="0050022D" w:rsidRDefault="0050022D" w:rsidP="0050022D">
      <w:pPr>
        <w:autoSpaceDE w:val="0"/>
        <w:autoSpaceDN w:val="0"/>
        <w:adjustRightInd w:val="0"/>
        <w:jc w:val="center"/>
        <w:rPr>
          <w:rFonts w:cstheme="minorHAnsi"/>
          <w:szCs w:val="22"/>
        </w:rPr>
      </w:pPr>
    </w:p>
    <w:p w:rsidR="0050022D" w:rsidRDefault="0050022D" w:rsidP="0050022D">
      <w:pPr>
        <w:jc w:val="center"/>
      </w:pPr>
      <w:r>
        <w:rPr>
          <w:noProof/>
          <w:lang w:val="fr-FR"/>
        </w:rPr>
        <w:drawing>
          <wp:inline distT="0" distB="0" distL="0" distR="0" wp14:anchorId="21E681E6" wp14:editId="2312149F">
            <wp:extent cx="2163600" cy="1526400"/>
            <wp:effectExtent l="0" t="0" r="825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d dans les arbres_GRAPH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3600" cy="1526400"/>
                    </a:xfrm>
                    <a:prstGeom prst="rect">
                      <a:avLst/>
                    </a:prstGeom>
                  </pic:spPr>
                </pic:pic>
              </a:graphicData>
            </a:graphic>
          </wp:inline>
        </w:drawing>
      </w:r>
      <w:r>
        <w:rPr>
          <w:noProof/>
          <w:lang w:val="fr-FR"/>
        </w:rPr>
        <w:drawing>
          <wp:inline distT="0" distB="0" distL="0" distR="0" wp14:anchorId="07ADD6DB" wp14:editId="331840CA">
            <wp:extent cx="2163600" cy="1526400"/>
            <wp:effectExtent l="0" t="0" r="825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oles nichant ailleurs_GRAPH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3600" cy="1526400"/>
                    </a:xfrm>
                    <a:prstGeom prst="rect">
                      <a:avLst/>
                    </a:prstGeom>
                  </pic:spPr>
                </pic:pic>
              </a:graphicData>
            </a:graphic>
          </wp:inline>
        </w:drawing>
      </w:r>
    </w:p>
    <w:p w:rsidR="0050022D" w:rsidRDefault="0050022D" w:rsidP="00B841BF">
      <w:pPr>
        <w:autoSpaceDE w:val="0"/>
        <w:autoSpaceDN w:val="0"/>
        <w:adjustRightInd w:val="0"/>
        <w:rPr>
          <w:rFonts w:cstheme="minorHAnsi"/>
          <w:color w:val="000000"/>
          <w:szCs w:val="22"/>
        </w:rPr>
      </w:pPr>
    </w:p>
    <w:p w:rsidR="0058252C" w:rsidRPr="00057CAF" w:rsidRDefault="00B841BF" w:rsidP="00B841BF">
      <w:pPr>
        <w:autoSpaceDE w:val="0"/>
        <w:autoSpaceDN w:val="0"/>
        <w:adjustRightInd w:val="0"/>
        <w:rPr>
          <w:rFonts w:cstheme="minorHAnsi"/>
          <w:color w:val="000000"/>
          <w:szCs w:val="22"/>
          <w:lang w:val="fr-FR"/>
        </w:rPr>
      </w:pPr>
      <w:r w:rsidRPr="00057CAF">
        <w:rPr>
          <w:rFonts w:cstheme="minorHAnsi"/>
          <w:color w:val="000000"/>
          <w:szCs w:val="22"/>
          <w:lang w:val="fr-FR"/>
        </w:rPr>
        <w:t>Le PDR favorise en principe les oiseaux des espaces agricoles à travers M10, et plus indirectement M12.1. Cet impact est démontré localement</w:t>
      </w:r>
      <w:r w:rsidR="0058252C" w:rsidRPr="00057CAF">
        <w:rPr>
          <w:rFonts w:cstheme="minorHAnsi"/>
          <w:color w:val="000000"/>
          <w:szCs w:val="22"/>
          <w:lang w:val="fr-FR"/>
        </w:rPr>
        <w:t xml:space="preserve">. Ainsi </w:t>
      </w:r>
      <w:r w:rsidRPr="00057CAF">
        <w:rPr>
          <w:rFonts w:cstheme="minorHAnsi"/>
          <w:color w:val="000000"/>
          <w:szCs w:val="22"/>
          <w:lang w:val="fr-FR"/>
        </w:rPr>
        <w:t xml:space="preserve">M10 </w:t>
      </w:r>
      <w:r w:rsidR="0058252C" w:rsidRPr="00057CAF">
        <w:rPr>
          <w:rFonts w:cstheme="minorHAnsi"/>
          <w:color w:val="000000"/>
          <w:szCs w:val="22"/>
          <w:lang w:val="fr-FR"/>
        </w:rPr>
        <w:t xml:space="preserve">favorise largement </w:t>
      </w:r>
      <w:r w:rsidRPr="00057CAF">
        <w:rPr>
          <w:rFonts w:cstheme="minorHAnsi"/>
          <w:color w:val="000000"/>
          <w:szCs w:val="22"/>
          <w:lang w:val="fr-FR"/>
        </w:rPr>
        <w:t>à maintenir des éléments arborés favorables aux espèces de bocages (MB1)</w:t>
      </w:r>
      <w:r w:rsidR="0058252C" w:rsidRPr="00057CAF">
        <w:rPr>
          <w:rFonts w:cstheme="minorHAnsi"/>
          <w:color w:val="000000"/>
          <w:szCs w:val="22"/>
          <w:lang w:val="fr-FR"/>
        </w:rPr>
        <w:t xml:space="preserve">, ce qui certainement a contribué à ce que les oiseaux arboricoles (au sens large) déclinent moins vite que les terricoles. M10 </w:t>
      </w:r>
      <w:r w:rsidRPr="00057CAF">
        <w:rPr>
          <w:rFonts w:cstheme="minorHAnsi"/>
          <w:color w:val="000000"/>
          <w:szCs w:val="22"/>
          <w:lang w:val="fr-FR"/>
        </w:rPr>
        <w:t xml:space="preserve">favorise </w:t>
      </w:r>
      <w:r w:rsidR="0058252C" w:rsidRPr="00057CAF">
        <w:rPr>
          <w:rFonts w:cstheme="minorHAnsi"/>
          <w:color w:val="000000"/>
          <w:szCs w:val="22"/>
          <w:lang w:val="fr-FR"/>
        </w:rPr>
        <w:t xml:space="preserve">aussi </w:t>
      </w:r>
      <w:r w:rsidRPr="00057CAF">
        <w:rPr>
          <w:rFonts w:cstheme="minorHAnsi"/>
          <w:color w:val="000000"/>
          <w:szCs w:val="22"/>
          <w:lang w:val="fr-FR"/>
        </w:rPr>
        <w:t>la capacité d’accueil des prairies (MB2, MC4)</w:t>
      </w:r>
      <w:r w:rsidR="0058252C" w:rsidRPr="00057CAF">
        <w:rPr>
          <w:rFonts w:cstheme="minorHAnsi"/>
          <w:color w:val="000000"/>
          <w:szCs w:val="22"/>
          <w:lang w:val="fr-FR"/>
        </w:rPr>
        <w:t xml:space="preserve"> t d’espaces herbeux interstitiels, mais cela sur une plus petite échelle</w:t>
      </w:r>
      <w:r w:rsidRPr="00057CAF">
        <w:rPr>
          <w:rFonts w:cstheme="minorHAnsi"/>
          <w:color w:val="000000"/>
          <w:szCs w:val="22"/>
          <w:lang w:val="fr-FR"/>
        </w:rPr>
        <w:t>. M10 appuie également des efforts ciblés sur des espèces particulières, comme le Bruant proyer en Hesbaye (P</w:t>
      </w:r>
      <w:r w:rsidRPr="00057CAF">
        <w:rPr>
          <w:rFonts w:cstheme="minorHAnsi"/>
          <w:smallCaps/>
          <w:color w:val="000000"/>
          <w:szCs w:val="22"/>
          <w:lang w:val="fr-FR"/>
        </w:rPr>
        <w:t>aquet</w:t>
      </w:r>
      <w:r w:rsidRPr="00057CAF">
        <w:rPr>
          <w:rFonts w:cstheme="minorHAnsi"/>
          <w:color w:val="000000"/>
          <w:szCs w:val="22"/>
          <w:lang w:val="fr-FR"/>
        </w:rPr>
        <w:t xml:space="preserve"> </w:t>
      </w:r>
      <w:r w:rsidRPr="00057CAF">
        <w:rPr>
          <w:rFonts w:cstheme="minorHAnsi"/>
          <w:i/>
          <w:color w:val="000000"/>
          <w:szCs w:val="22"/>
          <w:lang w:val="fr-FR"/>
        </w:rPr>
        <w:t>et al.</w:t>
      </w:r>
      <w:r w:rsidRPr="00057CAF">
        <w:rPr>
          <w:rFonts w:cstheme="minorHAnsi"/>
          <w:color w:val="000000"/>
          <w:szCs w:val="22"/>
          <w:lang w:val="fr-FR"/>
        </w:rPr>
        <w:t>, 2016</w:t>
      </w:r>
      <w:r w:rsidR="00EB3B95" w:rsidRPr="00057CAF">
        <w:rPr>
          <w:rFonts w:cstheme="minorHAnsi"/>
          <w:color w:val="000000"/>
          <w:szCs w:val="22"/>
          <w:lang w:val="fr-FR"/>
        </w:rPr>
        <w:t> ; Walot</w:t>
      </w:r>
      <w:r w:rsidRPr="00057CAF">
        <w:rPr>
          <w:rFonts w:cstheme="minorHAnsi"/>
          <w:color w:val="000000"/>
          <w:szCs w:val="22"/>
          <w:lang w:val="fr-FR"/>
        </w:rPr>
        <w:t xml:space="preserve">) et le </w:t>
      </w:r>
      <w:proofErr w:type="spellStart"/>
      <w:r w:rsidRPr="00057CAF">
        <w:rPr>
          <w:rFonts w:cstheme="minorHAnsi"/>
          <w:color w:val="000000"/>
          <w:szCs w:val="22"/>
          <w:lang w:val="fr-FR"/>
        </w:rPr>
        <w:t>Tarier</w:t>
      </w:r>
      <w:proofErr w:type="spellEnd"/>
      <w:r w:rsidRPr="00057CAF">
        <w:rPr>
          <w:rFonts w:cstheme="minorHAnsi"/>
          <w:color w:val="000000"/>
          <w:szCs w:val="22"/>
          <w:lang w:val="fr-FR"/>
        </w:rPr>
        <w:t xml:space="preserve"> des prés en Haute Ardenne (R</w:t>
      </w:r>
      <w:r w:rsidRPr="00057CAF">
        <w:rPr>
          <w:rFonts w:cstheme="minorHAnsi"/>
          <w:smallCaps/>
          <w:color w:val="000000"/>
          <w:szCs w:val="22"/>
          <w:lang w:val="fr-FR"/>
        </w:rPr>
        <w:t>euter</w:t>
      </w:r>
      <w:r w:rsidRPr="00057CAF">
        <w:rPr>
          <w:rFonts w:cstheme="minorHAnsi"/>
          <w:color w:val="000000"/>
          <w:szCs w:val="22"/>
          <w:lang w:val="fr-FR"/>
        </w:rPr>
        <w:t xml:space="preserve"> </w:t>
      </w:r>
      <w:r w:rsidRPr="00057CAF">
        <w:rPr>
          <w:rFonts w:cstheme="minorHAnsi"/>
          <w:i/>
          <w:color w:val="000000"/>
          <w:szCs w:val="22"/>
          <w:lang w:val="fr-FR"/>
        </w:rPr>
        <w:t>et al.</w:t>
      </w:r>
      <w:r w:rsidRPr="00057CAF">
        <w:rPr>
          <w:rFonts w:cstheme="minorHAnsi"/>
          <w:color w:val="000000"/>
          <w:szCs w:val="22"/>
          <w:lang w:val="fr-FR"/>
        </w:rPr>
        <w:t xml:space="preserve">, 2014). </w:t>
      </w:r>
    </w:p>
    <w:p w:rsidR="0050022D" w:rsidRPr="00057CAF" w:rsidRDefault="0050022D" w:rsidP="00B841BF">
      <w:pPr>
        <w:autoSpaceDE w:val="0"/>
        <w:autoSpaceDN w:val="0"/>
        <w:adjustRightInd w:val="0"/>
        <w:rPr>
          <w:rFonts w:cstheme="minorHAnsi"/>
          <w:color w:val="000000"/>
          <w:szCs w:val="22"/>
          <w:lang w:val="fr-FR"/>
        </w:rPr>
      </w:pPr>
    </w:p>
    <w:p w:rsidR="0058252C" w:rsidRPr="00057CAF" w:rsidRDefault="0058252C" w:rsidP="0058252C">
      <w:pPr>
        <w:rPr>
          <w:lang w:val="fr-FR"/>
        </w:rPr>
      </w:pPr>
      <w:r w:rsidRPr="00057CAF">
        <w:rPr>
          <w:lang w:val="fr-FR"/>
        </w:rPr>
        <w:t xml:space="preserve">Enfin, il est intéressant de noter que la nouvelle mesure de céréales sur pied (MB6) est prometteuse, </w:t>
      </w:r>
      <w:proofErr w:type="gramStart"/>
      <w:r w:rsidRPr="00057CAF">
        <w:rPr>
          <w:lang w:val="fr-FR"/>
        </w:rPr>
        <w:t>la suivi hivernal</w:t>
      </w:r>
      <w:proofErr w:type="gramEnd"/>
      <w:r w:rsidRPr="00057CAF">
        <w:rPr>
          <w:lang w:val="fr-FR"/>
        </w:rPr>
        <w:t xml:space="preserve"> ayant « donné des résultats très encourageants, avec dans l’ensemble des abondances d’oiseaux extraordinaires, en particulier pour diverses espèces relativement sédentaires et emblématiques du milieu agricole comme le Bruant jaune, le Bruant proyer, ou le Pigeon colombin. D’autres espèces bénéficient certainement de cette mesure : Moineau friquet, Pinson du Nord, Pigeon ramier, Perdrix grise, Faisan de Colchide, Busard Saint Martin » (Laudelout et al., 2019). </w:t>
      </w:r>
      <w:r w:rsidR="006E31A5" w:rsidRPr="00057CAF">
        <w:rPr>
          <w:lang w:val="fr-FR"/>
        </w:rPr>
        <w:t>Notons que si cette tendance devait se confirmer l’impact en termes de FBI s’exercerait sur les lieux de reproduction qui ne sont pas nécessairement limités à la Wallonie.</w:t>
      </w:r>
    </w:p>
    <w:p w:rsidR="0050022D" w:rsidRPr="00057CAF" w:rsidRDefault="0050022D" w:rsidP="0058252C">
      <w:pPr>
        <w:rPr>
          <w:lang w:val="fr-FR"/>
        </w:rPr>
      </w:pPr>
    </w:p>
    <w:p w:rsidR="00B841BF" w:rsidRPr="00057CAF" w:rsidRDefault="0058252C" w:rsidP="00B841BF">
      <w:pPr>
        <w:autoSpaceDE w:val="0"/>
        <w:autoSpaceDN w:val="0"/>
        <w:adjustRightInd w:val="0"/>
        <w:rPr>
          <w:rFonts w:cstheme="minorHAnsi"/>
          <w:color w:val="000000"/>
          <w:szCs w:val="22"/>
          <w:lang w:val="fr-FR"/>
        </w:rPr>
      </w:pPr>
      <w:r w:rsidRPr="00057CAF">
        <w:rPr>
          <w:rFonts w:cstheme="minorHAnsi"/>
          <w:color w:val="000000"/>
          <w:szCs w:val="22"/>
          <w:lang w:val="fr-FR"/>
        </w:rPr>
        <w:t xml:space="preserve">Toujours est-il que </w:t>
      </w:r>
      <w:r w:rsidR="00B841BF" w:rsidRPr="00057CAF">
        <w:rPr>
          <w:rFonts w:cstheme="minorHAnsi"/>
          <w:color w:val="000000"/>
          <w:szCs w:val="22"/>
          <w:lang w:val="fr-FR"/>
        </w:rPr>
        <w:t xml:space="preserve">l’impact général </w:t>
      </w:r>
      <w:r w:rsidRPr="00057CAF">
        <w:rPr>
          <w:rFonts w:cstheme="minorHAnsi"/>
          <w:color w:val="000000"/>
          <w:szCs w:val="22"/>
          <w:lang w:val="fr-FR"/>
        </w:rPr>
        <w:t xml:space="preserve">du PDR et </w:t>
      </w:r>
      <w:r w:rsidR="00B841BF" w:rsidRPr="00057CAF">
        <w:rPr>
          <w:rFonts w:cstheme="minorHAnsi"/>
          <w:color w:val="000000"/>
          <w:szCs w:val="22"/>
          <w:lang w:val="fr-FR"/>
        </w:rPr>
        <w:t xml:space="preserve">de M10 est insuffisant pour empêcher le déclin du FBI et même pour avoir infléchi son évolution </w:t>
      </w:r>
      <w:proofErr w:type="gramStart"/>
      <w:r w:rsidR="00B841BF" w:rsidRPr="00057CAF">
        <w:rPr>
          <w:rFonts w:cstheme="minorHAnsi"/>
          <w:color w:val="000000"/>
          <w:szCs w:val="22"/>
          <w:lang w:val="fr-FR"/>
        </w:rPr>
        <w:t>suite au</w:t>
      </w:r>
      <w:proofErr w:type="gramEnd"/>
      <w:r w:rsidR="00B841BF" w:rsidRPr="00057CAF">
        <w:rPr>
          <w:rFonts w:cstheme="minorHAnsi"/>
          <w:color w:val="000000"/>
          <w:szCs w:val="22"/>
          <w:lang w:val="fr-FR"/>
        </w:rPr>
        <w:t xml:space="preserve"> maximum que les </w:t>
      </w:r>
      <w:r w:rsidR="00B841BF" w:rsidRPr="00057CAF">
        <w:rPr>
          <w:rFonts w:cstheme="minorHAnsi"/>
          <w:szCs w:val="22"/>
          <w:lang w:val="fr-FR"/>
        </w:rPr>
        <w:t xml:space="preserve">MAE ont connu en 2012.  </w:t>
      </w:r>
      <w:r w:rsidR="00B841BF" w:rsidRPr="00057CAF">
        <w:rPr>
          <w:rFonts w:cstheme="minorHAnsi"/>
          <w:color w:val="000000"/>
          <w:szCs w:val="22"/>
          <w:lang w:val="fr-FR"/>
        </w:rPr>
        <w:t>D’un autre côté des effets négatifs du PDR sur la capacité d’accueil des espaces agricoles envers les oiseaux sont possibles comme montré plus haut (</w:t>
      </w:r>
      <w:r w:rsidR="00EB3B95" w:rsidRPr="00057CAF">
        <w:rPr>
          <w:rFonts w:cstheme="minorHAnsi"/>
          <w:color w:val="000000"/>
          <w:szCs w:val="22"/>
          <w:lang w:val="fr-FR"/>
        </w:rPr>
        <w:t>Annexe 3</w:t>
      </w:r>
      <w:r w:rsidR="00B841BF" w:rsidRPr="00057CAF">
        <w:rPr>
          <w:rFonts w:cstheme="minorHAnsi"/>
          <w:color w:val="000000"/>
          <w:szCs w:val="22"/>
          <w:lang w:val="fr-FR"/>
        </w:rPr>
        <w:t xml:space="preserve"> – point 2).</w:t>
      </w:r>
    </w:p>
    <w:p w:rsidR="0050022D" w:rsidRPr="00057CAF" w:rsidRDefault="0050022D" w:rsidP="00B841BF">
      <w:pPr>
        <w:autoSpaceDE w:val="0"/>
        <w:autoSpaceDN w:val="0"/>
        <w:adjustRightInd w:val="0"/>
        <w:rPr>
          <w:rFonts w:cstheme="minorHAnsi"/>
          <w:szCs w:val="22"/>
          <w:lang w:val="fr-FR"/>
        </w:rPr>
      </w:pPr>
    </w:p>
    <w:p w:rsidR="00B841BF" w:rsidRPr="00057CAF" w:rsidRDefault="00B841BF" w:rsidP="00B841BF">
      <w:pPr>
        <w:autoSpaceDE w:val="0"/>
        <w:autoSpaceDN w:val="0"/>
        <w:adjustRightInd w:val="0"/>
        <w:rPr>
          <w:rFonts w:cstheme="minorHAnsi"/>
          <w:szCs w:val="22"/>
          <w:lang w:val="fr-FR"/>
        </w:rPr>
      </w:pPr>
      <w:r w:rsidRPr="00057CAF">
        <w:rPr>
          <w:rFonts w:cstheme="minorHAnsi"/>
          <w:szCs w:val="22"/>
          <w:lang w:val="fr-FR"/>
        </w:rPr>
        <w:t xml:space="preserve">Dans le cas des espèces n’appartenant pas au FBI, des prédateurs de petits rongeurs (comme le Hibou des marais et la Grande Aigrette) sont attirés et donc probablement favorisés par certaines bandes aménagées (MC8). Le Faisan de Colchide (dont la contribution à la protection de la </w:t>
      </w:r>
      <w:r w:rsidRPr="00057CAF">
        <w:rPr>
          <w:rFonts w:cstheme="minorHAnsi"/>
          <w:szCs w:val="22"/>
          <w:lang w:val="fr-FR"/>
        </w:rPr>
        <w:lastRenderedPageBreak/>
        <w:t>biodiversité est diversement appréciée) est l’une des espèces que les chasseurs favorisent y compris à travers un appui aux MAEC. La protection du bocage (M10</w:t>
      </w:r>
      <w:r w:rsidR="00EB3B95" w:rsidRPr="00057CAF">
        <w:rPr>
          <w:rFonts w:cstheme="minorHAnsi"/>
          <w:szCs w:val="22"/>
          <w:lang w:val="fr-FR"/>
        </w:rPr>
        <w:t>, MB1</w:t>
      </w:r>
      <w:r w:rsidRPr="00057CAF">
        <w:rPr>
          <w:rFonts w:cstheme="minorHAnsi"/>
          <w:szCs w:val="22"/>
          <w:lang w:val="fr-FR"/>
        </w:rPr>
        <w:t>) se montre incapable d’enrayer le déclin des populations de Pie-grièche grise qui s’y trouvent, peut-être en raison de la structure linéaire qui favorise la prédation (</w:t>
      </w:r>
      <w:proofErr w:type="spellStart"/>
      <w:r w:rsidRPr="00057CAF">
        <w:rPr>
          <w:rFonts w:cstheme="minorHAnsi"/>
          <w:szCs w:val="22"/>
          <w:lang w:val="fr-FR"/>
        </w:rPr>
        <w:t>D</w:t>
      </w:r>
      <w:r w:rsidRPr="00057CAF">
        <w:rPr>
          <w:rFonts w:cstheme="minorHAnsi"/>
          <w:smallCaps/>
          <w:szCs w:val="22"/>
          <w:lang w:val="fr-FR"/>
        </w:rPr>
        <w:t>ehem</w:t>
      </w:r>
      <w:proofErr w:type="spellEnd"/>
      <w:r w:rsidRPr="00057CAF">
        <w:rPr>
          <w:rFonts w:cstheme="minorHAnsi"/>
          <w:szCs w:val="22"/>
          <w:lang w:val="fr-FR"/>
        </w:rPr>
        <w:t xml:space="preserve">, 2017). </w:t>
      </w:r>
    </w:p>
    <w:p w:rsidR="0050022D" w:rsidRPr="00057CAF" w:rsidRDefault="0050022D" w:rsidP="00B841BF">
      <w:pPr>
        <w:autoSpaceDE w:val="0"/>
        <w:autoSpaceDN w:val="0"/>
        <w:adjustRightInd w:val="0"/>
        <w:rPr>
          <w:rFonts w:cstheme="minorHAnsi"/>
          <w:szCs w:val="22"/>
          <w:lang w:val="fr-FR"/>
        </w:rPr>
      </w:pPr>
    </w:p>
    <w:p w:rsidR="00B841BF" w:rsidRPr="00057CAF" w:rsidRDefault="00B841BF" w:rsidP="00B841BF">
      <w:pPr>
        <w:autoSpaceDE w:val="0"/>
        <w:autoSpaceDN w:val="0"/>
        <w:adjustRightInd w:val="0"/>
        <w:rPr>
          <w:rFonts w:cstheme="minorHAnsi"/>
          <w:color w:val="000000"/>
          <w:szCs w:val="22"/>
          <w:u w:val="single"/>
          <w:lang w:val="fr-FR"/>
        </w:rPr>
      </w:pPr>
      <w:r w:rsidRPr="00057CAF">
        <w:rPr>
          <w:rFonts w:cstheme="minorHAnsi"/>
          <w:color w:val="000000"/>
          <w:szCs w:val="22"/>
          <w:u w:val="single"/>
          <w:lang w:val="fr-FR"/>
        </w:rPr>
        <w:t>4a. Oiseaux des milieux forestiers et semi-naturels</w:t>
      </w:r>
    </w:p>
    <w:p w:rsidR="00B841BF" w:rsidRPr="00057CAF" w:rsidRDefault="00B841BF" w:rsidP="00B841BF">
      <w:pPr>
        <w:autoSpaceDE w:val="0"/>
        <w:autoSpaceDN w:val="0"/>
        <w:adjustRightInd w:val="0"/>
        <w:rPr>
          <w:rFonts w:cstheme="minorHAnsi"/>
          <w:color w:val="000000"/>
          <w:szCs w:val="22"/>
          <w:lang w:val="fr-FR"/>
        </w:rPr>
      </w:pPr>
      <w:r w:rsidRPr="00057CAF">
        <w:rPr>
          <w:rFonts w:cstheme="minorHAnsi"/>
          <w:color w:val="000000"/>
          <w:szCs w:val="22"/>
          <w:lang w:val="fr-FR"/>
        </w:rPr>
        <w:t>Les tendances constatées des populations d’oiseaux sont généralement plus favorables en forêt que dans les terres de culture, avec toutefois là aussi des espèces en déclin ou à statut précaire. L’avifaune y bénéficie de M12.2 en soutien au réseau Natura 2000, qui est partiellement conçu en fonction de l’avifaune puisqu’il englobe les zones de protection spéciale désignées au titre de la directive « Oiseaux ». Mais l’impact effectif de M12.2 sur la gestion forestière est très indirect et n’est attendu qu’à terme. M7.6 favorise ou influence également des espèces forestières et de milieux ouverts ou semi-ouverts. Dans ces derniers la Pie-grièche grise se porte mieux que dans les bocages agricoles mais a souffert d’éliminations trop dr</w:t>
      </w:r>
      <w:r w:rsidR="00D52709" w:rsidRPr="00057CAF">
        <w:rPr>
          <w:rFonts w:cstheme="minorHAnsi"/>
          <w:color w:val="000000"/>
          <w:szCs w:val="22"/>
          <w:lang w:val="fr-FR"/>
        </w:rPr>
        <w:t xml:space="preserve">astiques des épicéas </w:t>
      </w:r>
      <w:proofErr w:type="gramStart"/>
      <w:r w:rsidR="00D52709" w:rsidRPr="00057CAF">
        <w:rPr>
          <w:rFonts w:cstheme="minorHAnsi"/>
          <w:color w:val="000000"/>
          <w:szCs w:val="22"/>
          <w:lang w:val="fr-FR"/>
        </w:rPr>
        <w:t>suite à de</w:t>
      </w:r>
      <w:r w:rsidRPr="00057CAF">
        <w:rPr>
          <w:rFonts w:cstheme="minorHAnsi"/>
          <w:color w:val="000000"/>
          <w:szCs w:val="22"/>
          <w:lang w:val="fr-FR"/>
        </w:rPr>
        <w:t>s</w:t>
      </w:r>
      <w:r w:rsidR="00D52709" w:rsidRPr="00057CAF">
        <w:rPr>
          <w:rFonts w:cstheme="minorHAnsi"/>
          <w:color w:val="000000"/>
          <w:szCs w:val="22"/>
          <w:lang w:val="fr-FR"/>
        </w:rPr>
        <w:t xml:space="preserve"> </w:t>
      </w:r>
      <w:r w:rsidRPr="00057CAF">
        <w:rPr>
          <w:rFonts w:cstheme="minorHAnsi"/>
          <w:color w:val="000000"/>
          <w:szCs w:val="22"/>
          <w:lang w:val="fr-FR"/>
        </w:rPr>
        <w:t>opérations</w:t>
      </w:r>
      <w:proofErr w:type="gramEnd"/>
      <w:r w:rsidRPr="00057CAF">
        <w:rPr>
          <w:rFonts w:cstheme="minorHAnsi"/>
          <w:color w:val="000000"/>
          <w:szCs w:val="22"/>
          <w:lang w:val="fr-FR"/>
        </w:rPr>
        <w:t xml:space="preserve"> analogues à celles que M7.6 peut favoriser (</w:t>
      </w:r>
      <w:proofErr w:type="spellStart"/>
      <w:r w:rsidRPr="00057CAF">
        <w:rPr>
          <w:rFonts w:cstheme="minorHAnsi"/>
          <w:color w:val="000000"/>
          <w:szCs w:val="22"/>
          <w:lang w:val="fr-FR"/>
        </w:rPr>
        <w:t>Dehem</w:t>
      </w:r>
      <w:proofErr w:type="spellEnd"/>
      <w:r w:rsidRPr="00057CAF">
        <w:rPr>
          <w:rFonts w:cstheme="minorHAnsi"/>
          <w:color w:val="000000"/>
          <w:szCs w:val="22"/>
          <w:lang w:val="fr-FR"/>
        </w:rPr>
        <w:t xml:space="preserve">, 2017). La population de Tétras lyre, autre espèce emblématique, est au bord de l’extinction, maintenue par des lâchers et peut également souffrir de mesures de restauration si son caractère semi-forestier est sous-estimé. Certaines pressions sont indirectement soutenues par le PDR, comme celles issues de la surabondance des sangliers (voir ci-dessus </w:t>
      </w:r>
      <w:r w:rsidR="00EB3B95" w:rsidRPr="00057CAF">
        <w:rPr>
          <w:rFonts w:cstheme="minorHAnsi"/>
          <w:color w:val="000000"/>
          <w:szCs w:val="22"/>
          <w:lang w:val="fr-FR"/>
        </w:rPr>
        <w:t>Annexe 3</w:t>
      </w:r>
      <w:r w:rsidRPr="00057CAF">
        <w:rPr>
          <w:rFonts w:cstheme="minorHAnsi"/>
          <w:color w:val="000000"/>
          <w:szCs w:val="22"/>
          <w:lang w:val="fr-FR"/>
        </w:rPr>
        <w:t xml:space="preserve"> – point 3), au détriment des oiseaux nichant au sol, et du tourisme (CJ24-2) en raison du dérangement et des dépôts de déchets favorisant éventuellement certains prédateurs.</w:t>
      </w:r>
    </w:p>
    <w:p w:rsidR="0050022D" w:rsidRPr="0050022D" w:rsidRDefault="00B841BF" w:rsidP="0050022D">
      <w:pPr>
        <w:pStyle w:val="Titre3"/>
      </w:pPr>
      <w:bookmarkStart w:id="78" w:name="_Toc11333806"/>
      <w:bookmarkStart w:id="79" w:name="_Toc25688778"/>
      <w:r w:rsidRPr="0050022D">
        <w:rPr>
          <w:rStyle w:val="Titre3Car"/>
          <w:b/>
        </w:rPr>
        <w:t>5. Diversité et abondance des espèces : batraciens et reptiles.</w:t>
      </w:r>
      <w:bookmarkEnd w:id="78"/>
      <w:bookmarkEnd w:id="79"/>
      <w:r w:rsidRPr="0050022D">
        <w:t xml:space="preserve"> </w:t>
      </w:r>
    </w:p>
    <w:p w:rsidR="00B841BF" w:rsidRPr="00057CAF" w:rsidRDefault="00B841BF" w:rsidP="00B841BF">
      <w:pPr>
        <w:autoSpaceDE w:val="0"/>
        <w:autoSpaceDN w:val="0"/>
        <w:adjustRightInd w:val="0"/>
        <w:rPr>
          <w:rFonts w:cstheme="minorHAnsi"/>
          <w:color w:val="000000"/>
          <w:szCs w:val="22"/>
          <w:lang w:val="fr-FR"/>
        </w:rPr>
      </w:pPr>
      <w:r w:rsidRPr="00057CAF">
        <w:rPr>
          <w:rFonts w:cstheme="minorHAnsi"/>
          <w:color w:val="000000"/>
          <w:szCs w:val="22"/>
          <w:lang w:val="fr-FR"/>
        </w:rPr>
        <w:t>Le PDR favorise directement les batraciens par son soutien au maintien de mares (Mb1c-M10) mais le nombre de mares soutenues a diminué depuis un maximum atteint en 2010 (Walot, 2018). Les reptiles bénéficient d’actions de restauration ou maintien de leurs habitats (M7.6, M12, voire certaines MAEC comme MB2-prairies naturelles et MC4-prairies de haute valeur biologique pour l’Orvet).</w:t>
      </w:r>
    </w:p>
    <w:p w:rsidR="0050022D" w:rsidRPr="0050022D" w:rsidRDefault="00B841BF" w:rsidP="0050022D">
      <w:pPr>
        <w:pStyle w:val="Titre3"/>
      </w:pPr>
      <w:bookmarkStart w:id="80" w:name="_Toc11333807"/>
      <w:bookmarkStart w:id="81" w:name="_Toc25688779"/>
      <w:r w:rsidRPr="0050022D">
        <w:t>6. Diversité et abondance des espèces : invertébrés.</w:t>
      </w:r>
      <w:bookmarkEnd w:id="80"/>
      <w:bookmarkEnd w:id="81"/>
    </w:p>
    <w:p w:rsidR="00B841BF" w:rsidRPr="00057CAF" w:rsidRDefault="00B841BF" w:rsidP="00B841BF">
      <w:pPr>
        <w:autoSpaceDE w:val="0"/>
        <w:autoSpaceDN w:val="0"/>
        <w:adjustRightInd w:val="0"/>
        <w:rPr>
          <w:rFonts w:cstheme="minorHAnsi"/>
          <w:color w:val="000000"/>
          <w:szCs w:val="22"/>
          <w:lang w:val="fr-FR"/>
        </w:rPr>
      </w:pPr>
      <w:r w:rsidRPr="00057CAF">
        <w:rPr>
          <w:rFonts w:cstheme="minorHAnsi"/>
          <w:color w:val="000000"/>
          <w:szCs w:val="22"/>
          <w:lang w:val="fr-FR"/>
        </w:rPr>
        <w:t>Le PDR favorise l’entomofaune des prairies (orthoptères et rhopalocères notamment, via MB2-prairies naturelles et MC4-prairies de haute valeur biologique), les insectes xylophages ou saprophytes des forêts (M12.2), la faune spécialisée des pelouses et autres milieux ouverts (M7.6, M12) et la faune de papillons des zones de cultures (MB8) : majorité des rhopalocères (57% des espèces non éteintes) a été trouvée dans les bandes aménagées (</w:t>
      </w:r>
      <w:proofErr w:type="spellStart"/>
      <w:r w:rsidRPr="00057CAF">
        <w:rPr>
          <w:rFonts w:cstheme="minorHAnsi"/>
          <w:color w:val="000000"/>
          <w:szCs w:val="22"/>
          <w:lang w:val="fr-FR"/>
        </w:rPr>
        <w:t>Natagriwal</w:t>
      </w:r>
      <w:proofErr w:type="spellEnd"/>
      <w:r w:rsidRPr="00057CAF">
        <w:rPr>
          <w:rFonts w:cstheme="minorHAnsi"/>
          <w:color w:val="000000"/>
          <w:szCs w:val="22"/>
          <w:lang w:val="fr-FR"/>
        </w:rPr>
        <w:t>), suggérant qu’elle profite des MAEC.</w:t>
      </w:r>
      <w:r w:rsidRPr="00057CAF">
        <w:rPr>
          <w:rFonts w:cstheme="minorHAnsi"/>
          <w:b/>
          <w:color w:val="000000"/>
          <w:szCs w:val="22"/>
          <w:lang w:val="fr-FR"/>
        </w:rPr>
        <w:t xml:space="preserve"> </w:t>
      </w:r>
      <w:r w:rsidRPr="00057CAF">
        <w:rPr>
          <w:rFonts w:cstheme="minorHAnsi"/>
          <w:color w:val="000000"/>
          <w:szCs w:val="22"/>
          <w:lang w:val="fr-FR"/>
        </w:rPr>
        <w:t>La faune aquatique est également favorisée, dont les odonates, à travers la protection d’habitats (MB1c-mares) et l’impact sur la qualité des eaux, traité en Q9. De possibles effets favorables à la moule perlière peuvent découler de M12. D’un autre côté le PDR pourrait indirectement renforcer la pression issue des loisirs nautiques (dommages aux fonds caillouteux par la pratique du kayak), à travers ses appuis au tourisme (CJ24-2).</w:t>
      </w:r>
    </w:p>
    <w:p w:rsidR="00B841BF" w:rsidRPr="00B75D71" w:rsidRDefault="00B841BF" w:rsidP="0050022D">
      <w:pPr>
        <w:pStyle w:val="Titre3"/>
      </w:pPr>
      <w:bookmarkStart w:id="82" w:name="_Toc11333808"/>
      <w:bookmarkStart w:id="83" w:name="_Toc25688780"/>
      <w:r w:rsidRPr="00B75D71">
        <w:t>7. Diversité et abondance des espèces : plantes à fleurs.</w:t>
      </w:r>
      <w:bookmarkEnd w:id="82"/>
      <w:bookmarkEnd w:id="83"/>
      <w:r w:rsidRPr="00B75D71">
        <w:t xml:space="preserve"> </w:t>
      </w:r>
    </w:p>
    <w:p w:rsidR="00B841BF" w:rsidRPr="00057CAF" w:rsidRDefault="00B841BF" w:rsidP="00B841BF">
      <w:pPr>
        <w:autoSpaceDE w:val="0"/>
        <w:autoSpaceDN w:val="0"/>
        <w:adjustRightInd w:val="0"/>
        <w:rPr>
          <w:rFonts w:cstheme="minorHAnsi"/>
          <w:color w:val="000000"/>
          <w:szCs w:val="22"/>
          <w:lang w:val="fr-FR"/>
        </w:rPr>
      </w:pPr>
      <w:r w:rsidRPr="00057CAF">
        <w:rPr>
          <w:rFonts w:cstheme="minorHAnsi"/>
          <w:color w:val="000000"/>
          <w:szCs w:val="22"/>
          <w:lang w:val="fr-FR"/>
        </w:rPr>
        <w:t xml:space="preserve">Les suivis sur les prés soumis à MC4-prairies de haute valeur biologique attestent d’une amélioration de la diversité botanique sur ces superficies. Une indication sur l’évolution générale des prairies se déduit du tableau ci-dessous (tiré des données </w:t>
      </w:r>
      <w:proofErr w:type="spellStart"/>
      <w:r w:rsidRPr="00057CAF">
        <w:rPr>
          <w:rFonts w:cstheme="minorHAnsi"/>
          <w:color w:val="000000"/>
          <w:szCs w:val="22"/>
          <w:lang w:val="fr-FR"/>
        </w:rPr>
        <w:t>DGoARNE</w:t>
      </w:r>
      <w:proofErr w:type="spellEnd"/>
      <w:r w:rsidRPr="00057CAF">
        <w:rPr>
          <w:rFonts w:cstheme="minorHAnsi"/>
          <w:color w:val="000000"/>
          <w:szCs w:val="22"/>
          <w:lang w:val="fr-FR"/>
        </w:rPr>
        <w:t xml:space="preserve">, 2006 et 2016) montrant que le déclin des prairies permanentes a été du même ordre de grandeur que celui du cheptel bovin, mais qu’en même temps les prés temporaires et cultures fourragères ont pris de l’extension. Il en est déduit que le degré d’intensification général des prairies permanentes a diminué (le bétail </w:t>
      </w:r>
      <w:r w:rsidRPr="00057CAF">
        <w:rPr>
          <w:rFonts w:cstheme="minorHAnsi"/>
          <w:color w:val="000000"/>
          <w:szCs w:val="22"/>
          <w:lang w:val="fr-FR"/>
        </w:rPr>
        <w:lastRenderedPageBreak/>
        <w:t xml:space="preserve">dépendant davantage d’autres ressources fourragères), ce qui est favorable à leur diversité botanique pour autant que les pertes liées à l’intensification préalable soient réversibles. Le PDR a vraisemblablement contribué à cette tendance, et continue à le faire, par les MAEC telles que MB2-prairies naturelles, MB9-autonomie fourragère, MC4-prairies de haute valeur biologique (voir notamment CJ9-3 pour l’analyse de l’impact sur le degré de fertilisation). </w:t>
      </w:r>
    </w:p>
    <w:p w:rsidR="0050022D" w:rsidRPr="00057CAF" w:rsidRDefault="0050022D" w:rsidP="00B841BF">
      <w:pPr>
        <w:autoSpaceDE w:val="0"/>
        <w:autoSpaceDN w:val="0"/>
        <w:adjustRightInd w:val="0"/>
        <w:rPr>
          <w:rFonts w:cstheme="minorHAnsi"/>
          <w:color w:val="000000"/>
          <w:szCs w:val="22"/>
          <w:lang w:val="fr-FR"/>
        </w:rPr>
      </w:pPr>
    </w:p>
    <w:tbl>
      <w:tblPr>
        <w:tblStyle w:val="Grilledutableau1"/>
        <w:tblW w:w="7792" w:type="dxa"/>
        <w:jc w:val="center"/>
        <w:tblLayout w:type="fixed"/>
        <w:tblLook w:val="04A0" w:firstRow="1" w:lastRow="0" w:firstColumn="1" w:lastColumn="0" w:noHBand="0" w:noVBand="1"/>
      </w:tblPr>
      <w:tblGrid>
        <w:gridCol w:w="3980"/>
        <w:gridCol w:w="1118"/>
        <w:gridCol w:w="1134"/>
        <w:gridCol w:w="1560"/>
      </w:tblGrid>
      <w:tr w:rsidR="00B841BF" w:rsidRPr="00B75D71" w:rsidTr="0050022D">
        <w:trPr>
          <w:jc w:val="center"/>
        </w:trPr>
        <w:tc>
          <w:tcPr>
            <w:tcW w:w="3980" w:type="dxa"/>
          </w:tcPr>
          <w:p w:rsidR="00B841BF" w:rsidRPr="00057CAF" w:rsidRDefault="00B841BF" w:rsidP="0090770C">
            <w:pPr>
              <w:rPr>
                <w:lang w:val="fr-FR"/>
              </w:rPr>
            </w:pPr>
          </w:p>
        </w:tc>
        <w:tc>
          <w:tcPr>
            <w:tcW w:w="1118" w:type="dxa"/>
          </w:tcPr>
          <w:p w:rsidR="00B841BF" w:rsidRPr="00B75D71" w:rsidRDefault="00B841BF" w:rsidP="0090770C">
            <w:r w:rsidRPr="00B75D71">
              <w:t>2005</w:t>
            </w:r>
          </w:p>
        </w:tc>
        <w:tc>
          <w:tcPr>
            <w:tcW w:w="1134" w:type="dxa"/>
          </w:tcPr>
          <w:p w:rsidR="00B841BF" w:rsidRPr="00B75D71" w:rsidRDefault="00B841BF" w:rsidP="0090770C">
            <w:r w:rsidRPr="00B75D71">
              <w:t>2015</w:t>
            </w:r>
          </w:p>
        </w:tc>
        <w:tc>
          <w:tcPr>
            <w:tcW w:w="1560" w:type="dxa"/>
          </w:tcPr>
          <w:p w:rsidR="00B841BF" w:rsidRPr="00B75D71" w:rsidRDefault="00B841BF" w:rsidP="0090770C">
            <w:proofErr w:type="spellStart"/>
            <w:r w:rsidRPr="00B75D71">
              <w:t>Accroissement</w:t>
            </w:r>
            <w:proofErr w:type="spellEnd"/>
          </w:p>
        </w:tc>
      </w:tr>
      <w:tr w:rsidR="00B841BF" w:rsidRPr="00B75D71" w:rsidTr="0050022D">
        <w:trPr>
          <w:jc w:val="center"/>
        </w:trPr>
        <w:tc>
          <w:tcPr>
            <w:tcW w:w="3980" w:type="dxa"/>
          </w:tcPr>
          <w:p w:rsidR="00B841BF" w:rsidRPr="00B75D71" w:rsidRDefault="00B841BF" w:rsidP="0090770C">
            <w:proofErr w:type="spellStart"/>
            <w:r w:rsidRPr="00B75D71">
              <w:t>Bovins</w:t>
            </w:r>
            <w:proofErr w:type="spellEnd"/>
            <w:r w:rsidRPr="00B75D71">
              <w:t xml:space="preserve"> (x1000)</w:t>
            </w:r>
          </w:p>
        </w:tc>
        <w:tc>
          <w:tcPr>
            <w:tcW w:w="1118" w:type="dxa"/>
          </w:tcPr>
          <w:p w:rsidR="00B841BF" w:rsidRPr="00B75D71" w:rsidRDefault="00B841BF" w:rsidP="0090770C">
            <w:r w:rsidRPr="00B75D71">
              <w:t>1348</w:t>
            </w:r>
          </w:p>
        </w:tc>
        <w:tc>
          <w:tcPr>
            <w:tcW w:w="1134" w:type="dxa"/>
          </w:tcPr>
          <w:p w:rsidR="00B841BF" w:rsidRPr="00B75D71" w:rsidRDefault="00B841BF" w:rsidP="0090770C">
            <w:r w:rsidRPr="00B75D71">
              <w:t>1181</w:t>
            </w:r>
          </w:p>
        </w:tc>
        <w:tc>
          <w:tcPr>
            <w:tcW w:w="1560" w:type="dxa"/>
          </w:tcPr>
          <w:p w:rsidR="00B841BF" w:rsidRPr="00B75D71" w:rsidRDefault="00B841BF" w:rsidP="0090770C">
            <w:r w:rsidRPr="00B75D71">
              <w:t>-12,4%</w:t>
            </w:r>
          </w:p>
        </w:tc>
      </w:tr>
      <w:tr w:rsidR="00B841BF" w:rsidRPr="00B75D71" w:rsidTr="0050022D">
        <w:trPr>
          <w:jc w:val="center"/>
        </w:trPr>
        <w:tc>
          <w:tcPr>
            <w:tcW w:w="3980" w:type="dxa"/>
          </w:tcPr>
          <w:p w:rsidR="00B841BF" w:rsidRPr="00B75D71" w:rsidRDefault="00B841BF" w:rsidP="0090770C">
            <w:r w:rsidRPr="00B75D71">
              <w:t xml:space="preserve">Prairies </w:t>
            </w:r>
            <w:proofErr w:type="spellStart"/>
            <w:r w:rsidRPr="00B75D71">
              <w:t>permanentes</w:t>
            </w:r>
            <w:proofErr w:type="spellEnd"/>
            <w:r w:rsidRPr="00B75D71">
              <w:t xml:space="preserve"> (ha)</w:t>
            </w:r>
          </w:p>
        </w:tc>
        <w:tc>
          <w:tcPr>
            <w:tcW w:w="1118" w:type="dxa"/>
          </w:tcPr>
          <w:p w:rsidR="00B841BF" w:rsidRPr="00B75D71" w:rsidRDefault="00B841BF" w:rsidP="0090770C">
            <w:r w:rsidRPr="00B75D71">
              <w:t>345 610</w:t>
            </w:r>
          </w:p>
        </w:tc>
        <w:tc>
          <w:tcPr>
            <w:tcW w:w="1134" w:type="dxa"/>
          </w:tcPr>
          <w:p w:rsidR="00B841BF" w:rsidRPr="00B75D71" w:rsidRDefault="00B841BF" w:rsidP="0090770C">
            <w:r w:rsidRPr="00B75D71">
              <w:t>306 441</w:t>
            </w:r>
          </w:p>
        </w:tc>
        <w:tc>
          <w:tcPr>
            <w:tcW w:w="1560" w:type="dxa"/>
          </w:tcPr>
          <w:p w:rsidR="00B841BF" w:rsidRPr="00B75D71" w:rsidRDefault="00B841BF" w:rsidP="0090770C">
            <w:r w:rsidRPr="00B75D71">
              <w:t>-11,4%</w:t>
            </w:r>
          </w:p>
        </w:tc>
      </w:tr>
      <w:tr w:rsidR="00B841BF" w:rsidRPr="00B75D71" w:rsidTr="0050022D">
        <w:trPr>
          <w:jc w:val="center"/>
        </w:trPr>
        <w:tc>
          <w:tcPr>
            <w:tcW w:w="3980" w:type="dxa"/>
          </w:tcPr>
          <w:p w:rsidR="00B841BF" w:rsidRPr="00057CAF" w:rsidRDefault="00B841BF" w:rsidP="0090770C">
            <w:pPr>
              <w:rPr>
                <w:lang w:val="fr-FR"/>
              </w:rPr>
            </w:pPr>
            <w:r w:rsidRPr="00057CAF">
              <w:rPr>
                <w:lang w:val="fr-FR"/>
              </w:rPr>
              <w:t>Prés temporaires et cultures fourragères</w:t>
            </w:r>
          </w:p>
        </w:tc>
        <w:tc>
          <w:tcPr>
            <w:tcW w:w="1118" w:type="dxa"/>
          </w:tcPr>
          <w:p w:rsidR="00B841BF" w:rsidRPr="00B75D71" w:rsidRDefault="00B841BF" w:rsidP="0090770C">
            <w:r w:rsidRPr="00B75D71">
              <w:t>85 553</w:t>
            </w:r>
          </w:p>
        </w:tc>
        <w:tc>
          <w:tcPr>
            <w:tcW w:w="1134" w:type="dxa"/>
          </w:tcPr>
          <w:p w:rsidR="00B841BF" w:rsidRPr="00B75D71" w:rsidRDefault="00B841BF" w:rsidP="0090770C">
            <w:r w:rsidRPr="00B75D71">
              <w:t>91 621</w:t>
            </w:r>
          </w:p>
        </w:tc>
        <w:tc>
          <w:tcPr>
            <w:tcW w:w="1560" w:type="dxa"/>
          </w:tcPr>
          <w:p w:rsidR="00B841BF" w:rsidRPr="00B75D71" w:rsidRDefault="00B841BF" w:rsidP="0090770C">
            <w:r w:rsidRPr="00B75D71">
              <w:t>+ 7,1%</w:t>
            </w:r>
          </w:p>
        </w:tc>
      </w:tr>
      <w:tr w:rsidR="00B841BF" w:rsidRPr="00B75D71" w:rsidTr="0050022D">
        <w:trPr>
          <w:jc w:val="center"/>
        </w:trPr>
        <w:tc>
          <w:tcPr>
            <w:tcW w:w="3980" w:type="dxa"/>
          </w:tcPr>
          <w:p w:rsidR="00B841BF" w:rsidRPr="00B75D71" w:rsidRDefault="00B841BF" w:rsidP="0090770C">
            <w:r w:rsidRPr="00B75D71">
              <w:t xml:space="preserve">Total des surfaces </w:t>
            </w:r>
            <w:proofErr w:type="spellStart"/>
            <w:r w:rsidRPr="00B75D71">
              <w:t>fourragères</w:t>
            </w:r>
            <w:proofErr w:type="spellEnd"/>
          </w:p>
        </w:tc>
        <w:tc>
          <w:tcPr>
            <w:tcW w:w="1118" w:type="dxa"/>
          </w:tcPr>
          <w:p w:rsidR="00B841BF" w:rsidRPr="00B75D71" w:rsidRDefault="00B841BF" w:rsidP="0090770C">
            <w:r w:rsidRPr="00B75D71">
              <w:t>431 163</w:t>
            </w:r>
          </w:p>
        </w:tc>
        <w:tc>
          <w:tcPr>
            <w:tcW w:w="1134" w:type="dxa"/>
          </w:tcPr>
          <w:p w:rsidR="00B841BF" w:rsidRPr="00B75D71" w:rsidRDefault="00B841BF" w:rsidP="0090770C">
            <w:r w:rsidRPr="00B75D71">
              <w:t>398 062</w:t>
            </w:r>
          </w:p>
        </w:tc>
        <w:tc>
          <w:tcPr>
            <w:tcW w:w="1560" w:type="dxa"/>
          </w:tcPr>
          <w:p w:rsidR="00B841BF" w:rsidRPr="00B75D71" w:rsidRDefault="00B841BF" w:rsidP="0090770C">
            <w:r w:rsidRPr="00B75D71">
              <w:t>-7,6%</w:t>
            </w:r>
          </w:p>
        </w:tc>
      </w:tr>
      <w:tr w:rsidR="00B841BF" w:rsidRPr="00B75D71" w:rsidTr="0050022D">
        <w:trPr>
          <w:jc w:val="center"/>
        </w:trPr>
        <w:tc>
          <w:tcPr>
            <w:tcW w:w="3980" w:type="dxa"/>
          </w:tcPr>
          <w:p w:rsidR="00B841BF" w:rsidRPr="00057CAF" w:rsidRDefault="00B841BF" w:rsidP="0090770C">
            <w:pPr>
              <w:rPr>
                <w:lang w:val="fr-FR"/>
              </w:rPr>
            </w:pPr>
            <w:r w:rsidRPr="00057CAF">
              <w:rPr>
                <w:lang w:val="fr-FR"/>
              </w:rPr>
              <w:t>Têtes bovins/ha prairie permanente</w:t>
            </w:r>
          </w:p>
        </w:tc>
        <w:tc>
          <w:tcPr>
            <w:tcW w:w="1118" w:type="dxa"/>
            <w:tcBorders>
              <w:top w:val="nil"/>
              <w:left w:val="nil"/>
              <w:bottom w:val="single" w:sz="8" w:space="0" w:color="auto"/>
              <w:right w:val="single" w:sz="8" w:space="0" w:color="auto"/>
            </w:tcBorders>
            <w:shd w:val="clear" w:color="auto" w:fill="auto"/>
            <w:vAlign w:val="center"/>
          </w:tcPr>
          <w:p w:rsidR="00B841BF" w:rsidRPr="00B75D71" w:rsidRDefault="00B841BF" w:rsidP="0090770C">
            <w:pPr>
              <w:rPr>
                <w:rFonts w:ascii="Calibri" w:hAnsi="Calibri" w:cs="Calibri"/>
              </w:rPr>
            </w:pPr>
            <w:r w:rsidRPr="00B75D71">
              <w:rPr>
                <w:rFonts w:ascii="Calibri" w:hAnsi="Calibri" w:cs="Calibri"/>
              </w:rPr>
              <w:t>3,90</w:t>
            </w:r>
          </w:p>
        </w:tc>
        <w:tc>
          <w:tcPr>
            <w:tcW w:w="1134" w:type="dxa"/>
            <w:tcBorders>
              <w:top w:val="nil"/>
              <w:left w:val="nil"/>
              <w:bottom w:val="single" w:sz="8" w:space="0" w:color="auto"/>
              <w:right w:val="single" w:sz="8" w:space="0" w:color="auto"/>
            </w:tcBorders>
            <w:shd w:val="clear" w:color="auto" w:fill="auto"/>
            <w:vAlign w:val="center"/>
          </w:tcPr>
          <w:p w:rsidR="00B841BF" w:rsidRPr="00B75D71" w:rsidRDefault="00B841BF" w:rsidP="0090770C">
            <w:pPr>
              <w:rPr>
                <w:rFonts w:ascii="Calibri" w:hAnsi="Calibri" w:cs="Calibri"/>
              </w:rPr>
            </w:pPr>
            <w:r w:rsidRPr="00B75D71">
              <w:rPr>
                <w:rFonts w:ascii="Calibri" w:hAnsi="Calibri" w:cs="Calibri"/>
              </w:rPr>
              <w:t>3,85</w:t>
            </w:r>
          </w:p>
        </w:tc>
        <w:tc>
          <w:tcPr>
            <w:tcW w:w="1560" w:type="dxa"/>
            <w:tcBorders>
              <w:top w:val="nil"/>
              <w:left w:val="nil"/>
              <w:bottom w:val="single" w:sz="8" w:space="0" w:color="auto"/>
              <w:right w:val="single" w:sz="8" w:space="0" w:color="auto"/>
            </w:tcBorders>
          </w:tcPr>
          <w:p w:rsidR="00B841BF" w:rsidRPr="00B75D71" w:rsidRDefault="00B841BF" w:rsidP="0090770C">
            <w:pPr>
              <w:rPr>
                <w:rFonts w:ascii="Calibri" w:hAnsi="Calibri" w:cs="Calibri"/>
              </w:rPr>
            </w:pPr>
            <w:r w:rsidRPr="00B75D71">
              <w:rPr>
                <w:rFonts w:ascii="Calibri" w:hAnsi="Calibri" w:cs="Calibri"/>
              </w:rPr>
              <w:t>-1,2%</w:t>
            </w:r>
          </w:p>
        </w:tc>
      </w:tr>
      <w:tr w:rsidR="00B841BF" w:rsidRPr="00B75D71" w:rsidTr="0050022D">
        <w:trPr>
          <w:jc w:val="center"/>
        </w:trPr>
        <w:tc>
          <w:tcPr>
            <w:tcW w:w="3980" w:type="dxa"/>
          </w:tcPr>
          <w:p w:rsidR="00B841BF" w:rsidRPr="00B75D71" w:rsidRDefault="00B841BF" w:rsidP="0090770C">
            <w:proofErr w:type="spellStart"/>
            <w:r w:rsidRPr="00B75D71">
              <w:t>Têtes</w:t>
            </w:r>
            <w:proofErr w:type="spellEnd"/>
            <w:r w:rsidRPr="00B75D71">
              <w:t xml:space="preserve"> </w:t>
            </w:r>
            <w:proofErr w:type="spellStart"/>
            <w:r w:rsidRPr="00B75D71">
              <w:t>bovins</w:t>
            </w:r>
            <w:proofErr w:type="spellEnd"/>
            <w:r w:rsidRPr="00B75D71">
              <w:t xml:space="preserve">/ha </w:t>
            </w:r>
            <w:proofErr w:type="spellStart"/>
            <w:r w:rsidRPr="00B75D71">
              <w:t>fourrager</w:t>
            </w:r>
            <w:proofErr w:type="spellEnd"/>
          </w:p>
        </w:tc>
        <w:tc>
          <w:tcPr>
            <w:tcW w:w="1118" w:type="dxa"/>
            <w:tcBorders>
              <w:top w:val="nil"/>
              <w:left w:val="nil"/>
              <w:bottom w:val="single" w:sz="8" w:space="0" w:color="auto"/>
              <w:right w:val="single" w:sz="8" w:space="0" w:color="auto"/>
            </w:tcBorders>
            <w:shd w:val="clear" w:color="auto" w:fill="auto"/>
            <w:vAlign w:val="center"/>
          </w:tcPr>
          <w:p w:rsidR="00B841BF" w:rsidRPr="00B75D71" w:rsidRDefault="00B841BF" w:rsidP="0090770C">
            <w:r w:rsidRPr="00B75D71">
              <w:rPr>
                <w:rFonts w:ascii="Calibri" w:hAnsi="Calibri" w:cs="Calibri"/>
              </w:rPr>
              <w:t>3,13</w:t>
            </w:r>
          </w:p>
        </w:tc>
        <w:tc>
          <w:tcPr>
            <w:tcW w:w="1134" w:type="dxa"/>
            <w:tcBorders>
              <w:top w:val="nil"/>
              <w:left w:val="nil"/>
              <w:bottom w:val="single" w:sz="8" w:space="0" w:color="auto"/>
              <w:right w:val="single" w:sz="8" w:space="0" w:color="auto"/>
            </w:tcBorders>
            <w:shd w:val="clear" w:color="auto" w:fill="auto"/>
            <w:vAlign w:val="center"/>
          </w:tcPr>
          <w:p w:rsidR="00B841BF" w:rsidRPr="00B75D71" w:rsidRDefault="00B841BF" w:rsidP="0090770C">
            <w:r w:rsidRPr="00B75D71">
              <w:rPr>
                <w:rFonts w:ascii="Calibri" w:hAnsi="Calibri" w:cs="Calibri"/>
              </w:rPr>
              <w:t>2,97</w:t>
            </w:r>
          </w:p>
        </w:tc>
        <w:tc>
          <w:tcPr>
            <w:tcW w:w="1560" w:type="dxa"/>
            <w:tcBorders>
              <w:top w:val="nil"/>
              <w:left w:val="nil"/>
              <w:bottom w:val="single" w:sz="8" w:space="0" w:color="auto"/>
              <w:right w:val="single" w:sz="8" w:space="0" w:color="auto"/>
            </w:tcBorders>
          </w:tcPr>
          <w:p w:rsidR="00B841BF" w:rsidRPr="00B75D71" w:rsidRDefault="00B841BF" w:rsidP="0090770C">
            <w:pPr>
              <w:rPr>
                <w:rFonts w:ascii="Calibri" w:hAnsi="Calibri" w:cs="Calibri"/>
              </w:rPr>
            </w:pPr>
            <w:r w:rsidRPr="00B75D71">
              <w:rPr>
                <w:rFonts w:ascii="Calibri" w:hAnsi="Calibri" w:cs="Calibri"/>
              </w:rPr>
              <w:t>-5,2%</w:t>
            </w:r>
          </w:p>
        </w:tc>
      </w:tr>
    </w:tbl>
    <w:p w:rsidR="00EF61F0" w:rsidRDefault="00EF61F0" w:rsidP="00B841BF">
      <w:pPr>
        <w:rPr>
          <w:rFonts w:cstheme="minorHAnsi"/>
          <w:color w:val="000000"/>
          <w:szCs w:val="22"/>
        </w:rPr>
      </w:pPr>
    </w:p>
    <w:p w:rsidR="00B841BF" w:rsidRPr="00057CAF" w:rsidRDefault="00B841BF" w:rsidP="00B841BF">
      <w:pPr>
        <w:rPr>
          <w:rFonts w:cstheme="minorHAnsi"/>
          <w:color w:val="000000"/>
          <w:szCs w:val="22"/>
          <w:lang w:val="fr-FR"/>
        </w:rPr>
      </w:pPr>
      <w:r w:rsidRPr="00057CAF">
        <w:rPr>
          <w:rFonts w:cstheme="minorHAnsi"/>
          <w:color w:val="000000"/>
          <w:szCs w:val="22"/>
          <w:lang w:val="fr-FR"/>
        </w:rPr>
        <w:t xml:space="preserve">Le PDR favorise également la flore messicole (comme démontré </w:t>
      </w:r>
      <w:r w:rsidRPr="00057CAF">
        <w:rPr>
          <w:rFonts w:cstheme="minorHAnsi"/>
          <w:szCs w:val="22"/>
          <w:lang w:val="fr-FR"/>
        </w:rPr>
        <w:t xml:space="preserve">dans le PDR précédent par </w:t>
      </w:r>
      <w:proofErr w:type="spellStart"/>
      <w:r w:rsidRPr="00057CAF">
        <w:rPr>
          <w:rFonts w:cstheme="minorHAnsi"/>
          <w:szCs w:val="22"/>
          <w:lang w:val="fr-FR"/>
        </w:rPr>
        <w:t>Picqueray</w:t>
      </w:r>
      <w:proofErr w:type="spellEnd"/>
      <w:r w:rsidRPr="00057CAF">
        <w:rPr>
          <w:rFonts w:cstheme="minorHAnsi"/>
          <w:szCs w:val="22"/>
          <w:lang w:val="fr-FR"/>
        </w:rPr>
        <w:t xml:space="preserve"> </w:t>
      </w:r>
      <w:r w:rsidRPr="00057CAF">
        <w:rPr>
          <w:rFonts w:cstheme="minorHAnsi"/>
          <w:i/>
          <w:szCs w:val="22"/>
          <w:lang w:val="fr-FR"/>
        </w:rPr>
        <w:t>et al.,</w:t>
      </w:r>
      <w:r w:rsidRPr="00057CAF">
        <w:rPr>
          <w:rFonts w:cstheme="minorHAnsi"/>
          <w:szCs w:val="22"/>
          <w:lang w:val="fr-FR"/>
        </w:rPr>
        <w:t xml:space="preserve"> 2012 ; le Brome épais fait l’objet d’un plan de sauvegarde par le Life intégré, avec des appuis de M10), celle </w:t>
      </w:r>
      <w:r w:rsidRPr="00057CAF">
        <w:rPr>
          <w:rFonts w:cstheme="minorHAnsi"/>
          <w:color w:val="000000"/>
          <w:szCs w:val="22"/>
          <w:lang w:val="fr-FR"/>
        </w:rPr>
        <w:t xml:space="preserve">des milieux interstitiels des terres agricoles (diverses M10), celle des forêts feuillues naturelles (M12.2), celle des eaux stagnantes et courantes (à travers MB1c et l’impact sur </w:t>
      </w:r>
      <w:r w:rsidR="00EF61F0" w:rsidRPr="00057CAF">
        <w:rPr>
          <w:rFonts w:cstheme="minorHAnsi"/>
          <w:color w:val="000000"/>
          <w:szCs w:val="22"/>
          <w:lang w:val="fr-FR"/>
        </w:rPr>
        <w:t>la qualité d</w:t>
      </w:r>
      <w:r w:rsidRPr="00057CAF">
        <w:rPr>
          <w:rFonts w:cstheme="minorHAnsi"/>
          <w:color w:val="000000"/>
          <w:szCs w:val="22"/>
          <w:lang w:val="fr-FR"/>
        </w:rPr>
        <w:t>es eaux, traité en Q9), ainsi que la flore spécialisée des pelouses et autres milieux ouverts (M7.6, M12). Les plantes indésirables dans les cultures (« mauvaises herbes » ou adventices) peuvent également être favorisées par les MAEC ce qui contrarie l’acceptation de celles-ci par les agriculteurs.</w:t>
      </w:r>
    </w:p>
    <w:p w:rsidR="0050022D" w:rsidRDefault="00B841BF" w:rsidP="0050022D">
      <w:pPr>
        <w:pStyle w:val="Titre3"/>
      </w:pPr>
      <w:bookmarkStart w:id="84" w:name="_Toc11333809"/>
      <w:bookmarkStart w:id="85" w:name="_Toc25688781"/>
      <w:r w:rsidRPr="00B75D71">
        <w:t>8. Diversité et abondance des espèces : cryptogames (hors champignons).</w:t>
      </w:r>
      <w:bookmarkEnd w:id="84"/>
      <w:bookmarkEnd w:id="85"/>
      <w:r w:rsidRPr="00B75D71">
        <w:t xml:space="preserve"> </w:t>
      </w:r>
    </w:p>
    <w:p w:rsidR="00B841BF" w:rsidRPr="00057CAF" w:rsidRDefault="00B841BF" w:rsidP="00B841BF">
      <w:pPr>
        <w:autoSpaceDE w:val="0"/>
        <w:autoSpaceDN w:val="0"/>
        <w:adjustRightInd w:val="0"/>
        <w:rPr>
          <w:rFonts w:cstheme="minorHAnsi"/>
          <w:color w:val="000000"/>
          <w:szCs w:val="22"/>
          <w:lang w:val="fr-FR"/>
        </w:rPr>
      </w:pPr>
      <w:r w:rsidRPr="00057CAF">
        <w:rPr>
          <w:rFonts w:cstheme="minorHAnsi"/>
          <w:color w:val="000000"/>
          <w:szCs w:val="22"/>
          <w:lang w:val="fr-FR"/>
        </w:rPr>
        <w:t xml:space="preserve">Le PDR favorise une large gamme d’espèces à travers le maintien de leurs habitats, dont les habitats aquatiques (M10-M1b, </w:t>
      </w:r>
      <w:r w:rsidR="00EF61F0" w:rsidRPr="00057CAF">
        <w:rPr>
          <w:rFonts w:cstheme="minorHAnsi"/>
          <w:color w:val="000000"/>
          <w:szCs w:val="22"/>
          <w:lang w:val="fr-FR"/>
        </w:rPr>
        <w:t xml:space="preserve">effet sur la qualité des eaux : </w:t>
      </w:r>
      <w:r w:rsidRPr="00057CAF">
        <w:rPr>
          <w:rFonts w:cstheme="minorHAnsi"/>
          <w:color w:val="000000"/>
          <w:szCs w:val="22"/>
          <w:lang w:val="fr-FR"/>
        </w:rPr>
        <w:t xml:space="preserve">Q9), les milieux ouverts semi-naturels (M7.6, M12.1) et les forêts (M12.2), et à travers ses contributions à la qualité de l’air (Q14). </w:t>
      </w:r>
    </w:p>
    <w:p w:rsidR="0050022D" w:rsidRDefault="00B841BF" w:rsidP="0050022D">
      <w:pPr>
        <w:pStyle w:val="Titre3"/>
      </w:pPr>
      <w:bookmarkStart w:id="86" w:name="_Toc11333810"/>
      <w:bookmarkStart w:id="87" w:name="_Toc25688782"/>
      <w:r w:rsidRPr="00B75D71">
        <w:t>9. Diversité et abondance des espèces : champignons.</w:t>
      </w:r>
      <w:bookmarkEnd w:id="86"/>
      <w:bookmarkEnd w:id="87"/>
      <w:r w:rsidRPr="00B75D71">
        <w:t xml:space="preserve"> </w:t>
      </w:r>
    </w:p>
    <w:p w:rsidR="00B841BF" w:rsidRPr="00057CAF" w:rsidRDefault="00B841BF" w:rsidP="00B841BF">
      <w:pPr>
        <w:autoSpaceDE w:val="0"/>
        <w:autoSpaceDN w:val="0"/>
        <w:adjustRightInd w:val="0"/>
        <w:rPr>
          <w:rFonts w:cstheme="minorHAnsi"/>
          <w:color w:val="000000"/>
          <w:szCs w:val="22"/>
          <w:lang w:val="fr-FR"/>
        </w:rPr>
      </w:pPr>
      <w:r w:rsidRPr="00057CAF">
        <w:rPr>
          <w:rFonts w:eastAsiaTheme="minorHAnsi" w:cstheme="minorBidi"/>
          <w:szCs w:val="22"/>
          <w:lang w:val="fr-FR"/>
        </w:rPr>
        <w:t>Effets positifs indirects sur les champignons saprophytes à travers M12.2, et sur les champignons mycorhiziens à travers la réduction des pollutions azotées de l’air (l’impact des dépôts azotés est notamment montré par Senn-</w:t>
      </w:r>
      <w:proofErr w:type="spellStart"/>
      <w:r w:rsidRPr="00057CAF">
        <w:rPr>
          <w:rFonts w:eastAsiaTheme="minorHAnsi" w:cstheme="minorBidi"/>
          <w:szCs w:val="22"/>
          <w:lang w:val="fr-FR"/>
        </w:rPr>
        <w:t>Irlet</w:t>
      </w:r>
      <w:proofErr w:type="spellEnd"/>
      <w:r w:rsidRPr="00057CAF">
        <w:rPr>
          <w:rFonts w:eastAsiaTheme="minorHAnsi" w:cstheme="minorBidi"/>
          <w:szCs w:val="22"/>
          <w:lang w:val="fr-FR"/>
        </w:rPr>
        <w:t xml:space="preserve"> </w:t>
      </w:r>
      <w:r w:rsidRPr="00057CAF">
        <w:rPr>
          <w:rFonts w:eastAsiaTheme="minorHAnsi" w:cstheme="minorBidi"/>
          <w:i/>
          <w:szCs w:val="22"/>
          <w:lang w:val="fr-FR"/>
        </w:rPr>
        <w:t>et al.</w:t>
      </w:r>
      <w:r w:rsidRPr="00057CAF">
        <w:rPr>
          <w:rFonts w:eastAsiaTheme="minorHAnsi" w:cstheme="minorBidi"/>
          <w:szCs w:val="22"/>
          <w:lang w:val="fr-FR"/>
        </w:rPr>
        <w:t xml:space="preserve">, 2012, comme déjà suggéré par Guillitte </w:t>
      </w:r>
      <w:r w:rsidRPr="00057CAF">
        <w:rPr>
          <w:rFonts w:eastAsiaTheme="minorHAnsi" w:cstheme="minorBidi"/>
          <w:i/>
          <w:szCs w:val="22"/>
          <w:lang w:val="fr-FR"/>
        </w:rPr>
        <w:t>et al.</w:t>
      </w:r>
      <w:r w:rsidRPr="00057CAF">
        <w:rPr>
          <w:rFonts w:eastAsiaTheme="minorHAnsi" w:cstheme="minorBidi"/>
          <w:szCs w:val="22"/>
          <w:lang w:val="fr-FR"/>
        </w:rPr>
        <w:t>, 2007). En revanche les opérations de déboisement sont parfois préjudiciables, la richesse mycologique des peuplements résineux n’étant pas toujours prise en compte (une remarquable station d’</w:t>
      </w:r>
      <w:proofErr w:type="spellStart"/>
      <w:r w:rsidRPr="00057CAF">
        <w:rPr>
          <w:rFonts w:ascii="Calibri" w:eastAsiaTheme="minorHAnsi" w:hAnsi="Calibri" w:cs="Calibri"/>
          <w:i/>
          <w:color w:val="000000"/>
          <w:szCs w:val="22"/>
          <w:lang w:val="fr-FR"/>
        </w:rPr>
        <w:t>Hygrophorus</w:t>
      </w:r>
      <w:proofErr w:type="spellEnd"/>
      <w:r w:rsidRPr="00057CAF">
        <w:rPr>
          <w:rFonts w:ascii="Calibri" w:eastAsiaTheme="minorHAnsi" w:hAnsi="Calibri" w:cs="Calibri"/>
          <w:i/>
          <w:color w:val="000000"/>
          <w:szCs w:val="22"/>
          <w:lang w:val="fr-FR"/>
        </w:rPr>
        <w:t xml:space="preserve"> </w:t>
      </w:r>
      <w:proofErr w:type="spellStart"/>
      <w:r w:rsidRPr="00057CAF">
        <w:rPr>
          <w:rFonts w:ascii="Calibri" w:eastAsiaTheme="minorHAnsi" w:hAnsi="Calibri" w:cs="Calibri"/>
          <w:i/>
          <w:color w:val="000000"/>
          <w:szCs w:val="22"/>
          <w:lang w:val="fr-FR"/>
        </w:rPr>
        <w:t>marzuolus</w:t>
      </w:r>
      <w:proofErr w:type="spellEnd"/>
      <w:r w:rsidRPr="00057CAF">
        <w:rPr>
          <w:rFonts w:ascii="Calibri" w:eastAsiaTheme="minorHAnsi" w:hAnsi="Calibri" w:cs="Calibri"/>
          <w:i/>
          <w:color w:val="000000"/>
          <w:szCs w:val="22"/>
          <w:lang w:val="fr-FR"/>
        </w:rPr>
        <w:t xml:space="preserve"> </w:t>
      </w:r>
      <w:r w:rsidRPr="00057CAF">
        <w:rPr>
          <w:rFonts w:ascii="Calibri" w:eastAsiaTheme="minorHAnsi" w:hAnsi="Calibri" w:cs="Calibri"/>
          <w:color w:val="000000"/>
          <w:szCs w:val="22"/>
          <w:lang w:val="fr-FR"/>
        </w:rPr>
        <w:t>ayant ainsi été détruite à Biron par des actions analogues à celles soutenues par M7.6)</w:t>
      </w:r>
    </w:p>
    <w:p w:rsidR="0050022D" w:rsidRDefault="00B841BF" w:rsidP="0050022D">
      <w:pPr>
        <w:pStyle w:val="Titre3"/>
      </w:pPr>
      <w:bookmarkStart w:id="88" w:name="_Toc11333811"/>
      <w:bookmarkStart w:id="89" w:name="_Toc25688783"/>
      <w:r w:rsidRPr="00B75D71">
        <w:t>10. Diversité et abondance des espèces : microorganismes des sols.</w:t>
      </w:r>
      <w:bookmarkEnd w:id="88"/>
      <w:bookmarkEnd w:id="89"/>
    </w:p>
    <w:p w:rsidR="00B841BF" w:rsidRPr="00057CAF" w:rsidRDefault="00B841BF" w:rsidP="00B841BF">
      <w:pPr>
        <w:autoSpaceDE w:val="0"/>
        <w:autoSpaceDN w:val="0"/>
        <w:adjustRightInd w:val="0"/>
        <w:rPr>
          <w:rFonts w:cstheme="minorHAnsi"/>
          <w:color w:val="000000"/>
          <w:szCs w:val="22"/>
          <w:lang w:val="fr-FR"/>
        </w:rPr>
      </w:pPr>
      <w:r w:rsidRPr="00057CAF">
        <w:rPr>
          <w:rFonts w:cstheme="minorHAnsi"/>
          <w:b/>
          <w:color w:val="000000"/>
          <w:szCs w:val="22"/>
          <w:lang w:val="fr-FR"/>
        </w:rPr>
        <w:t xml:space="preserve"> </w:t>
      </w:r>
      <w:r w:rsidRPr="00057CAF">
        <w:rPr>
          <w:rFonts w:cstheme="minorHAnsi"/>
          <w:color w:val="000000"/>
          <w:szCs w:val="22"/>
          <w:lang w:val="fr-FR"/>
        </w:rPr>
        <w:t>L’impact du PDR sur la vie des sols est mal connu et présumé faible en raison d’effets modérés sur le sol en général et sur sa teneur en matière organique en particulier (voir CJ10-5). M11 est supposé agir favorablement.</w:t>
      </w:r>
    </w:p>
    <w:p w:rsidR="0050022D" w:rsidRDefault="0050022D" w:rsidP="0050022D">
      <w:pPr>
        <w:pStyle w:val="Titre3"/>
      </w:pPr>
      <w:r>
        <w:br w:type="page"/>
      </w:r>
    </w:p>
    <w:p w:rsidR="0050022D" w:rsidRDefault="00B841BF" w:rsidP="0050022D">
      <w:pPr>
        <w:pStyle w:val="Titre3"/>
      </w:pPr>
      <w:bookmarkStart w:id="90" w:name="_Toc11333812"/>
      <w:bookmarkStart w:id="91" w:name="_Toc25688784"/>
      <w:r w:rsidRPr="00B75D71">
        <w:lastRenderedPageBreak/>
        <w:t>11. Diversité génétique des plantes cultivées et animaux domestiques.</w:t>
      </w:r>
      <w:bookmarkEnd w:id="90"/>
      <w:bookmarkEnd w:id="91"/>
      <w:r w:rsidRPr="00B75D71">
        <w:t xml:space="preserve"> </w:t>
      </w:r>
    </w:p>
    <w:p w:rsidR="00B841BF" w:rsidRPr="00057CAF" w:rsidRDefault="00B841BF" w:rsidP="00B841BF">
      <w:pPr>
        <w:autoSpaceDE w:val="0"/>
        <w:autoSpaceDN w:val="0"/>
        <w:adjustRightInd w:val="0"/>
        <w:rPr>
          <w:rFonts w:cstheme="minorHAnsi"/>
          <w:color w:val="000000"/>
          <w:szCs w:val="22"/>
          <w:lang w:val="fr-FR"/>
        </w:rPr>
      </w:pPr>
      <w:r w:rsidRPr="00057CAF">
        <w:rPr>
          <w:rFonts w:cstheme="minorHAnsi"/>
          <w:color w:val="000000"/>
          <w:szCs w:val="22"/>
          <w:lang w:val="fr-FR"/>
        </w:rPr>
        <w:t xml:space="preserve">La conservation de races locales menacées de chevaux et ruminants continue à être soutenue par M10 (MB11 et secondairement MB9-autonomie fourragère) mais pas celles des petits animaux d’élevage (lapins, volaille) ou des porcs. </w:t>
      </w:r>
      <w:r w:rsidRPr="00057CAF">
        <w:rPr>
          <w:rFonts w:cstheme="minorHAnsi"/>
          <w:szCs w:val="22"/>
          <w:lang w:val="fr-FR"/>
        </w:rPr>
        <w:t xml:space="preserve">MB11 (races locales menacées) cible spécifiquement la conservation de races de bovins, ovins et chevaux (pas de porcs ni de volaille). MB 11 joue positivement sur le long terme (dans la continuité entre PDR successifs), mais elle incite plus à la capitalisation au sein des élevages aidés qu’à la dissémination de jeunes produits par ces élevages. </w:t>
      </w:r>
      <w:r w:rsidRPr="00057CAF">
        <w:rPr>
          <w:rFonts w:cstheme="minorHAnsi"/>
          <w:color w:val="000000"/>
          <w:szCs w:val="22"/>
          <w:lang w:val="fr-FR"/>
        </w:rPr>
        <w:t>Le soutien à l’agriculture biologique (M11) tend également à favoriser le maintien d’une diversité génétique des animaux d’élevage et la culture de variétés végétales délaissées par l’agriculture traditionnelle. Les appuis à la conservation des arbres (M10-MB1b) freinent également la disparition des fruitiers de variétés traditionnelles (dont la diversité fut jadis remarquable). Cependant aucune mesure ne vise explicitement la conservation de la diversité génétique végétale.</w:t>
      </w:r>
    </w:p>
    <w:p w:rsidR="0050022D" w:rsidRDefault="00B841BF" w:rsidP="0050022D">
      <w:pPr>
        <w:pStyle w:val="Titre3"/>
      </w:pPr>
      <w:bookmarkStart w:id="92" w:name="_Toc11333813"/>
      <w:bookmarkStart w:id="93" w:name="_Toc25688785"/>
      <w:r w:rsidRPr="001648FD">
        <w:t>12. Biodiversité extraterritoriale</w:t>
      </w:r>
      <w:r w:rsidR="001648FD" w:rsidRPr="001648FD">
        <w:t>.</w:t>
      </w:r>
      <w:bookmarkEnd w:id="92"/>
      <w:bookmarkEnd w:id="93"/>
      <w:r w:rsidR="001648FD" w:rsidRPr="001648FD">
        <w:t xml:space="preserve"> </w:t>
      </w:r>
    </w:p>
    <w:p w:rsidR="00B841BF" w:rsidRPr="00057CAF" w:rsidRDefault="001648FD" w:rsidP="00B841BF">
      <w:pPr>
        <w:autoSpaceDE w:val="0"/>
        <w:autoSpaceDN w:val="0"/>
        <w:adjustRightInd w:val="0"/>
        <w:rPr>
          <w:rFonts w:cstheme="minorHAnsi"/>
          <w:color w:val="000000"/>
          <w:szCs w:val="22"/>
          <w:lang w:val="fr-FR"/>
        </w:rPr>
      </w:pPr>
      <w:r w:rsidRPr="00057CAF">
        <w:rPr>
          <w:rFonts w:cstheme="minorHAnsi"/>
          <w:color w:val="000000"/>
          <w:szCs w:val="22"/>
          <w:lang w:val="fr-FR"/>
        </w:rPr>
        <w:t xml:space="preserve">Par ses modestes et </w:t>
      </w:r>
      <w:r w:rsidR="00B841BF" w:rsidRPr="00057CAF">
        <w:rPr>
          <w:rFonts w:cstheme="minorHAnsi"/>
          <w:color w:val="000000"/>
          <w:szCs w:val="22"/>
          <w:lang w:val="fr-FR"/>
        </w:rPr>
        <w:t>hypothétiques effets sur la qualité des eaux (Q9), le PDR pourrait atténuer la pollution à l’aval du territoire wallon, notamment dans la mer</w:t>
      </w:r>
      <w:r w:rsidR="00834BDA" w:rsidRPr="00057CAF">
        <w:rPr>
          <w:rFonts w:cstheme="minorHAnsi"/>
          <w:color w:val="000000"/>
          <w:szCs w:val="22"/>
          <w:lang w:val="fr-FR"/>
        </w:rPr>
        <w:t xml:space="preserve"> du Nord. Par son impact éventuel</w:t>
      </w:r>
      <w:r w:rsidR="00B841BF" w:rsidRPr="00057CAF">
        <w:rPr>
          <w:rFonts w:cstheme="minorHAnsi"/>
          <w:color w:val="000000"/>
          <w:szCs w:val="22"/>
          <w:lang w:val="fr-FR"/>
        </w:rPr>
        <w:t xml:space="preserve"> sur les importations d’aliments du bétail (</w:t>
      </w:r>
      <w:r w:rsidR="00E973F7" w:rsidRPr="00057CAF">
        <w:rPr>
          <w:rFonts w:cstheme="minorHAnsi"/>
          <w:color w:val="000000"/>
          <w:szCs w:val="22"/>
          <w:lang w:val="fr-FR"/>
        </w:rPr>
        <w:t xml:space="preserve">Annexe 6, </w:t>
      </w:r>
      <w:r w:rsidR="00B841BF" w:rsidRPr="00057CAF">
        <w:rPr>
          <w:rFonts w:cstheme="minorHAnsi"/>
          <w:color w:val="000000"/>
          <w:szCs w:val="22"/>
          <w:lang w:val="fr-FR"/>
        </w:rPr>
        <w:t xml:space="preserve">CJ14-3.1), il </w:t>
      </w:r>
      <w:r w:rsidRPr="00057CAF">
        <w:rPr>
          <w:rFonts w:cstheme="minorHAnsi"/>
          <w:color w:val="000000"/>
          <w:szCs w:val="22"/>
          <w:lang w:val="fr-FR"/>
        </w:rPr>
        <w:t xml:space="preserve">pourrait </w:t>
      </w:r>
      <w:r w:rsidR="00B841BF" w:rsidRPr="00057CAF">
        <w:rPr>
          <w:rFonts w:cstheme="minorHAnsi"/>
          <w:color w:val="000000"/>
          <w:szCs w:val="22"/>
          <w:lang w:val="fr-FR"/>
        </w:rPr>
        <w:t>contribue</w:t>
      </w:r>
      <w:r w:rsidRPr="00057CAF">
        <w:rPr>
          <w:rFonts w:cstheme="minorHAnsi"/>
          <w:color w:val="000000"/>
          <w:szCs w:val="22"/>
          <w:lang w:val="fr-FR"/>
        </w:rPr>
        <w:t>r</w:t>
      </w:r>
      <w:r w:rsidR="00B841BF" w:rsidRPr="00057CAF">
        <w:rPr>
          <w:rFonts w:cstheme="minorHAnsi"/>
          <w:color w:val="000000"/>
          <w:szCs w:val="22"/>
          <w:lang w:val="fr-FR"/>
        </w:rPr>
        <w:t xml:space="preserve"> </w:t>
      </w:r>
      <w:r w:rsidRPr="00057CAF">
        <w:rPr>
          <w:rFonts w:cstheme="minorHAnsi"/>
          <w:color w:val="000000"/>
          <w:szCs w:val="22"/>
          <w:lang w:val="fr-FR"/>
        </w:rPr>
        <w:t>(</w:t>
      </w:r>
      <w:r w:rsidR="00B841BF" w:rsidRPr="00057CAF">
        <w:rPr>
          <w:rFonts w:cstheme="minorHAnsi"/>
          <w:color w:val="000000"/>
          <w:szCs w:val="22"/>
          <w:lang w:val="fr-FR"/>
        </w:rPr>
        <w:t>modestement</w:t>
      </w:r>
      <w:r w:rsidRPr="00057CAF">
        <w:rPr>
          <w:rFonts w:cstheme="minorHAnsi"/>
          <w:color w:val="000000"/>
          <w:szCs w:val="22"/>
          <w:lang w:val="fr-FR"/>
        </w:rPr>
        <w:t>)</w:t>
      </w:r>
      <w:r w:rsidR="00B841BF" w:rsidRPr="00057CAF">
        <w:rPr>
          <w:rFonts w:cstheme="minorHAnsi"/>
          <w:color w:val="000000"/>
          <w:szCs w:val="22"/>
          <w:lang w:val="fr-FR"/>
        </w:rPr>
        <w:t xml:space="preserve"> à limiter les pressions sur les zones de production de soja et les effets indirects de l’expansion de cette culture en termes de pression sur les savanes et forêts sud-américaines. </w:t>
      </w:r>
    </w:p>
    <w:p w:rsidR="0050022D" w:rsidRDefault="00B841BF" w:rsidP="0050022D">
      <w:pPr>
        <w:pStyle w:val="Titre3"/>
      </w:pPr>
      <w:bookmarkStart w:id="94" w:name="_Toc11333814"/>
      <w:bookmarkStart w:id="95" w:name="_Toc25688786"/>
      <w:r w:rsidRPr="00B75D71">
        <w:t>13. Paysage écologique : maillage et mosaïque d’habitats.</w:t>
      </w:r>
      <w:bookmarkEnd w:id="94"/>
      <w:bookmarkEnd w:id="95"/>
      <w:r w:rsidRPr="00B75D71">
        <w:t> </w:t>
      </w:r>
    </w:p>
    <w:p w:rsidR="00B841BF" w:rsidRPr="00057CAF" w:rsidRDefault="00B841BF" w:rsidP="00B841BF">
      <w:pPr>
        <w:autoSpaceDE w:val="0"/>
        <w:autoSpaceDN w:val="0"/>
        <w:adjustRightInd w:val="0"/>
        <w:rPr>
          <w:rFonts w:cstheme="minorHAnsi"/>
          <w:color w:val="000000"/>
          <w:szCs w:val="22"/>
          <w:lang w:val="fr-FR"/>
        </w:rPr>
      </w:pPr>
      <w:r w:rsidRPr="00057CAF">
        <w:rPr>
          <w:rFonts w:cstheme="minorHAnsi"/>
          <w:color w:val="000000"/>
          <w:szCs w:val="22"/>
          <w:lang w:val="fr-FR"/>
        </w:rPr>
        <w:t xml:space="preserve">Le PDR, principalement à travers M10, favorise le maintien voire la restauration d’éléments surfaciques (prairies naturelles ou d’intérêt biologique), linéaires (haies, alignements, bandes) et ponctuels (arbres isolés, mares) constitutifs du maillage, contribuant à assurer des connections écologiques, des effets de lisière et de diversification locale. </w:t>
      </w:r>
      <w:r w:rsidR="00FD7868" w:rsidRPr="00057CAF">
        <w:rPr>
          <w:rFonts w:cstheme="minorHAnsi"/>
          <w:color w:val="000000"/>
          <w:szCs w:val="22"/>
          <w:lang w:val="fr-FR"/>
        </w:rPr>
        <w:t xml:space="preserve">M7.6 contribue également à renforcer les réseaux d’habitat (notamment ouverts) d’intérêt et les mesures agricoles surfaciques (y compris M13) constituent en soi un incitant à maintenir sous agriculture des terres marginales, favorisant le maintien de paysages ouverts (mais pas de milieux buissonnants de transition). </w:t>
      </w:r>
      <w:r w:rsidR="00277DFF" w:rsidRPr="00057CAF">
        <w:rPr>
          <w:rFonts w:cstheme="minorHAnsi"/>
          <w:color w:val="000000"/>
          <w:szCs w:val="22"/>
          <w:highlight w:val="yellow"/>
          <w:lang w:val="fr-FR"/>
        </w:rPr>
        <w:t xml:space="preserve">Une </w:t>
      </w:r>
      <w:r w:rsidR="00FD7868" w:rsidRPr="00057CAF">
        <w:rPr>
          <w:rFonts w:cstheme="minorHAnsi"/>
          <w:color w:val="000000"/>
          <w:szCs w:val="22"/>
          <w:highlight w:val="yellow"/>
          <w:lang w:val="fr-FR"/>
        </w:rPr>
        <w:t xml:space="preserve">interaction difficile à identifier est également possible par les effets éventuels </w:t>
      </w:r>
      <w:r w:rsidRPr="00057CAF">
        <w:rPr>
          <w:rFonts w:cstheme="minorHAnsi"/>
          <w:color w:val="000000"/>
          <w:szCs w:val="22"/>
          <w:highlight w:val="yellow"/>
          <w:lang w:val="fr-FR"/>
        </w:rPr>
        <w:t>du PDR sur la taille des exploitations (voir CJ14-3.3</w:t>
      </w:r>
      <w:r w:rsidR="006F5BCD" w:rsidRPr="00057CAF">
        <w:rPr>
          <w:rFonts w:cstheme="minorHAnsi"/>
          <w:color w:val="000000"/>
          <w:szCs w:val="22"/>
          <w:highlight w:val="yellow"/>
          <w:lang w:val="fr-FR"/>
        </w:rPr>
        <w:t xml:space="preserve"> a</w:t>
      </w:r>
      <w:r w:rsidRPr="00057CAF">
        <w:rPr>
          <w:rFonts w:cstheme="minorHAnsi"/>
          <w:color w:val="000000"/>
          <w:szCs w:val="22"/>
          <w:highlight w:val="yellow"/>
          <w:lang w:val="fr-FR"/>
        </w:rPr>
        <w:t>).</w:t>
      </w:r>
      <w:r w:rsidRPr="00057CAF">
        <w:rPr>
          <w:rFonts w:cstheme="minorHAnsi"/>
          <w:color w:val="000000"/>
          <w:szCs w:val="22"/>
          <w:lang w:val="fr-FR"/>
        </w:rPr>
        <w:t xml:space="preserve"> </w:t>
      </w:r>
    </w:p>
    <w:p w:rsidR="00B841BF" w:rsidRDefault="00B841BF" w:rsidP="00FE454A">
      <w:pPr>
        <w:pStyle w:val="Titre3"/>
      </w:pPr>
      <w:bookmarkStart w:id="96" w:name="_Toc11333815"/>
      <w:bookmarkStart w:id="97" w:name="_Toc25688787"/>
      <w:r w:rsidRPr="00B75D71">
        <w:t>14. Paysage visuel.</w:t>
      </w:r>
      <w:bookmarkEnd w:id="96"/>
      <w:bookmarkEnd w:id="97"/>
      <w:r w:rsidRPr="00B75D71">
        <w:t xml:space="preserve"> </w:t>
      </w:r>
    </w:p>
    <w:p w:rsidR="00B841BF" w:rsidRPr="00057CAF" w:rsidRDefault="00B841BF" w:rsidP="00B841BF">
      <w:pPr>
        <w:autoSpaceDE w:val="0"/>
        <w:autoSpaceDN w:val="0"/>
        <w:adjustRightInd w:val="0"/>
        <w:rPr>
          <w:rFonts w:cstheme="minorHAnsi"/>
          <w:color w:val="000000"/>
          <w:szCs w:val="22"/>
          <w:lang w:val="fr-FR"/>
        </w:rPr>
      </w:pPr>
      <w:r w:rsidRPr="00057CAF">
        <w:rPr>
          <w:rFonts w:cstheme="minorHAnsi"/>
          <w:szCs w:val="22"/>
          <w:lang w:val="fr-FR"/>
        </w:rPr>
        <w:t>Les MAEC (M10) et les conditionnalités favorisent le maintien d’éléments ligneux dans les paysages agricoles (MB1a, MB1b, conditionnalité T1 T04 E2) ainsi que de plans d’eau (MB1c).</w:t>
      </w:r>
      <w:r w:rsidRPr="00057CAF">
        <w:rPr>
          <w:rFonts w:ascii="New York" w:hAnsi="New York"/>
          <w:lang w:val="fr-FR"/>
        </w:rPr>
        <w:t xml:space="preserve"> </w:t>
      </w:r>
      <w:r w:rsidRPr="00057CAF">
        <w:rPr>
          <w:rFonts w:cstheme="minorHAnsi"/>
          <w:color w:val="000000"/>
          <w:szCs w:val="22"/>
          <w:lang w:val="fr-FR"/>
        </w:rPr>
        <w:t xml:space="preserve">Les MAEC (M10) en bandes soulignent certains traits du paysage, comme les tracés des cours d’eau et les lisières forestières. Des opérations de restauration d’habitats (M7.6) et les mesures qui soutiennent le maintien d’une activité agricole sous des contraintes particulières (M12.1, M13) ouvrent le paysage ou l’empêchent de se fermer. Le PDR contribue également à un paysage plus fleuri (à travers des bandes MC8 et des prés MC4-prairies de haute valeur biologique par exemple, les CIPAN de </w:t>
      </w:r>
      <w:proofErr w:type="spellStart"/>
      <w:r w:rsidRPr="00057CAF">
        <w:rPr>
          <w:rFonts w:cstheme="minorHAnsi"/>
          <w:color w:val="000000"/>
          <w:szCs w:val="22"/>
          <w:lang w:val="fr-FR"/>
        </w:rPr>
        <w:t>phacélie</w:t>
      </w:r>
      <w:proofErr w:type="spellEnd"/>
      <w:r w:rsidRPr="00057CAF">
        <w:rPr>
          <w:rFonts w:cstheme="minorHAnsi"/>
          <w:color w:val="000000"/>
          <w:szCs w:val="22"/>
          <w:lang w:val="fr-FR"/>
        </w:rPr>
        <w:t xml:space="preserve"> ou de </w:t>
      </w:r>
      <w:proofErr w:type="gramStart"/>
      <w:r w:rsidRPr="00057CAF">
        <w:rPr>
          <w:rFonts w:cstheme="minorHAnsi"/>
          <w:color w:val="000000"/>
          <w:szCs w:val="22"/>
          <w:lang w:val="fr-FR"/>
        </w:rPr>
        <w:t>moutarde indirectement soutenues</w:t>
      </w:r>
      <w:proofErr w:type="gramEnd"/>
      <w:r w:rsidRPr="00057CAF">
        <w:rPr>
          <w:rFonts w:cstheme="minorHAnsi"/>
          <w:color w:val="000000"/>
          <w:szCs w:val="22"/>
          <w:lang w:val="fr-FR"/>
        </w:rPr>
        <w:t xml:space="preserve"> par les conditionnalités, le maintien des aubépines, pruneliers et arbres fruitiers soutenu par MB1 et les conditionnalités). Certains financements de M4.1 consistent expressément à embellir les abords de ferme. L’impact général de ces actions est donc largement positif, dans la mesure le public apprécie généralement les structures hétérogènes, la diversité, les floraisons, les vues lointaines et les caractéristiques des paysages d’autrefois.</w:t>
      </w:r>
    </w:p>
    <w:p w:rsidR="0050022D" w:rsidRPr="00057CAF" w:rsidRDefault="0050022D" w:rsidP="00B841BF">
      <w:pPr>
        <w:autoSpaceDE w:val="0"/>
        <w:autoSpaceDN w:val="0"/>
        <w:adjustRightInd w:val="0"/>
        <w:rPr>
          <w:rFonts w:cstheme="minorHAnsi"/>
          <w:color w:val="000000"/>
          <w:szCs w:val="22"/>
          <w:lang w:val="fr-FR"/>
        </w:rPr>
      </w:pPr>
    </w:p>
    <w:p w:rsidR="00B841BF" w:rsidRPr="00057CAF" w:rsidRDefault="00B841BF" w:rsidP="00B841BF">
      <w:pPr>
        <w:rPr>
          <w:rFonts w:cstheme="minorHAnsi"/>
          <w:color w:val="000000"/>
          <w:szCs w:val="22"/>
          <w:lang w:val="fr-FR"/>
        </w:rPr>
      </w:pPr>
      <w:r w:rsidRPr="00057CAF">
        <w:rPr>
          <w:rFonts w:cstheme="minorHAnsi"/>
          <w:color w:val="000000"/>
          <w:szCs w:val="22"/>
          <w:lang w:val="fr-FR"/>
        </w:rPr>
        <w:lastRenderedPageBreak/>
        <w:t xml:space="preserve">D’un autre côté, le PDR pourrait indirectement favoriser la perte de mixité (CJ10-3) et donc la coexistence de prairies et de cultures et ses effets directs ne sont pas nécessairement tous appréciés. Par exemple les nouveaux bâtiments (M4.1, M7.1, M7.2) ne répondent pas toujours aux demandes pour le maintien d’un bâti traditionnel, malgré leur encadrement </w:t>
      </w:r>
      <w:r w:rsidRPr="00057CAF">
        <w:rPr>
          <w:rFonts w:cstheme="minorHAnsi"/>
          <w:szCs w:val="22"/>
          <w:lang w:val="fr-FR"/>
        </w:rPr>
        <w:t>par les règles d’urbanisme. De</w:t>
      </w:r>
      <w:r w:rsidRPr="00057CAF">
        <w:rPr>
          <w:rFonts w:cstheme="minorHAnsi"/>
          <w:color w:val="000000"/>
          <w:szCs w:val="22"/>
          <w:lang w:val="fr-FR"/>
        </w:rPr>
        <w:t xml:space="preserve"> même la perception de quelques déboisements et d’aménagements de milieux naturels n’est pas toujours favorable (notamment dans le cas d’une forme d’artificialisation introduite par des clôtures renforcées et le choix de parcelles rectangulaires n’épousant pas les gradients naturels). Enfin certains espaces laissés à la flore spontanée (M10) déplaisent à certaines personnes qui les jugent négligés ou couverts de « mauvaises herbes ».</w:t>
      </w:r>
    </w:p>
    <w:p w:rsidR="00A3455A" w:rsidRPr="00057CAF" w:rsidRDefault="00A3455A">
      <w:pPr>
        <w:spacing w:after="160" w:line="259" w:lineRule="auto"/>
        <w:jc w:val="left"/>
        <w:rPr>
          <w:rFonts w:cstheme="minorHAnsi"/>
          <w:color w:val="000000"/>
          <w:szCs w:val="22"/>
          <w:lang w:val="fr-FR"/>
        </w:rPr>
      </w:pPr>
      <w:r w:rsidRPr="00057CAF">
        <w:rPr>
          <w:rFonts w:cstheme="minorHAnsi"/>
          <w:color w:val="000000"/>
          <w:szCs w:val="22"/>
          <w:lang w:val="fr-FR"/>
        </w:rPr>
        <w:br w:type="page"/>
      </w:r>
    </w:p>
    <w:p w:rsidR="00FE454A" w:rsidRDefault="00FE454A" w:rsidP="0050022D">
      <w:pPr>
        <w:pStyle w:val="Titre1"/>
        <w:rPr>
          <w:rFonts w:eastAsiaTheme="minorHAnsi"/>
        </w:rPr>
        <w:sectPr w:rsidR="00FE454A" w:rsidSect="0050022D">
          <w:type w:val="oddPage"/>
          <w:pgSz w:w="11906" w:h="16838"/>
          <w:pgMar w:top="1417" w:right="1417" w:bottom="1417" w:left="1417" w:header="708" w:footer="708" w:gutter="0"/>
          <w:cols w:space="708"/>
          <w:docGrid w:linePitch="360"/>
        </w:sectPr>
      </w:pPr>
      <w:bookmarkStart w:id="98" w:name="_Toc11278973"/>
    </w:p>
    <w:p w:rsidR="000B14F5" w:rsidRDefault="000B14F5" w:rsidP="0050022D">
      <w:pPr>
        <w:pStyle w:val="Titre1"/>
        <w:rPr>
          <w:rFonts w:eastAsiaTheme="minorHAnsi"/>
        </w:rPr>
      </w:pPr>
      <w:bookmarkStart w:id="99" w:name="_Toc25688788"/>
      <w:r>
        <w:rPr>
          <w:rFonts w:eastAsiaTheme="minorHAnsi"/>
        </w:rPr>
        <w:lastRenderedPageBreak/>
        <w:t>Annexe 4. Analyse des contributions du PDR aux composantes de la stratégie biodiversité</w:t>
      </w:r>
      <w:bookmarkEnd w:id="98"/>
      <w:bookmarkEnd w:id="99"/>
    </w:p>
    <w:tbl>
      <w:tblPr>
        <w:tblStyle w:val="Grilledutableau3"/>
        <w:tblW w:w="9209" w:type="dxa"/>
        <w:shd w:val="clear" w:color="auto" w:fill="FBE4D5" w:themeFill="accent2" w:themeFillTint="33"/>
        <w:tblLayout w:type="fixed"/>
        <w:tblLook w:val="04A0" w:firstRow="1" w:lastRow="0" w:firstColumn="1" w:lastColumn="0" w:noHBand="0" w:noVBand="1"/>
      </w:tblPr>
      <w:tblGrid>
        <w:gridCol w:w="3568"/>
        <w:gridCol w:w="4791"/>
        <w:gridCol w:w="850"/>
      </w:tblGrid>
      <w:tr w:rsidR="000B14F5" w:rsidRPr="00FE454A" w:rsidTr="00FE454A">
        <w:tc>
          <w:tcPr>
            <w:tcW w:w="3568" w:type="dxa"/>
            <w:shd w:val="clear" w:color="auto" w:fill="A50021"/>
          </w:tcPr>
          <w:p w:rsidR="000B14F5" w:rsidRPr="00057CAF" w:rsidRDefault="000B14F5" w:rsidP="005610F4">
            <w:pPr>
              <w:rPr>
                <w:b/>
                <w:color w:val="FFFFFF" w:themeColor="background1"/>
                <w:sz w:val="22"/>
                <w:szCs w:val="22"/>
                <w:lang w:val="fr-FR"/>
              </w:rPr>
            </w:pPr>
            <w:r w:rsidRPr="00057CAF">
              <w:rPr>
                <w:b/>
                <w:color w:val="FFFFFF" w:themeColor="background1"/>
                <w:sz w:val="22"/>
                <w:szCs w:val="22"/>
                <w:lang w:val="fr-FR"/>
              </w:rPr>
              <w:t>Objectif/action de la Stratégie UE</w:t>
            </w:r>
          </w:p>
        </w:tc>
        <w:tc>
          <w:tcPr>
            <w:tcW w:w="4791" w:type="dxa"/>
            <w:shd w:val="clear" w:color="auto" w:fill="A50021"/>
          </w:tcPr>
          <w:p w:rsidR="000B14F5" w:rsidRPr="00FE454A" w:rsidRDefault="000B14F5" w:rsidP="005610F4">
            <w:pPr>
              <w:rPr>
                <w:b/>
                <w:color w:val="FFFFFF" w:themeColor="background1"/>
                <w:sz w:val="22"/>
                <w:szCs w:val="22"/>
              </w:rPr>
            </w:pPr>
            <w:r w:rsidRPr="00FE454A">
              <w:rPr>
                <w:b/>
                <w:color w:val="FFFFFF" w:themeColor="background1"/>
                <w:sz w:val="22"/>
                <w:szCs w:val="22"/>
              </w:rPr>
              <w:t>Contribution du PDR</w:t>
            </w:r>
          </w:p>
        </w:tc>
        <w:tc>
          <w:tcPr>
            <w:tcW w:w="850" w:type="dxa"/>
            <w:shd w:val="clear" w:color="auto" w:fill="A50021"/>
          </w:tcPr>
          <w:p w:rsidR="000B14F5" w:rsidRPr="00FE454A" w:rsidRDefault="00526EEC" w:rsidP="005610F4">
            <w:pPr>
              <w:rPr>
                <w:color w:val="FFFFFF" w:themeColor="background1"/>
                <w:sz w:val="22"/>
                <w:szCs w:val="22"/>
              </w:rPr>
            </w:pPr>
            <w:proofErr w:type="spellStart"/>
            <w:r w:rsidRPr="00FE454A">
              <w:rPr>
                <w:color w:val="FFFFFF" w:themeColor="background1"/>
                <w:sz w:val="22"/>
                <w:szCs w:val="22"/>
              </w:rPr>
              <w:t>Bilan</w:t>
            </w:r>
            <w:proofErr w:type="spellEnd"/>
          </w:p>
        </w:tc>
      </w:tr>
      <w:tr w:rsidR="000B14F5" w:rsidRPr="00FE454A" w:rsidTr="008842E8">
        <w:tc>
          <w:tcPr>
            <w:tcW w:w="3568" w:type="dxa"/>
            <w:shd w:val="clear" w:color="auto" w:fill="auto"/>
          </w:tcPr>
          <w:p w:rsidR="000B14F5" w:rsidRPr="00FE454A" w:rsidRDefault="000B14F5" w:rsidP="005610F4">
            <w:pPr>
              <w:rPr>
                <w:b/>
                <w:sz w:val="22"/>
                <w:szCs w:val="22"/>
              </w:rPr>
            </w:pPr>
            <w:r w:rsidRPr="00FE454A">
              <w:rPr>
                <w:b/>
                <w:sz w:val="22"/>
                <w:szCs w:val="22"/>
              </w:rPr>
              <w:t xml:space="preserve">Objectif </w:t>
            </w:r>
            <w:proofErr w:type="spellStart"/>
            <w:proofErr w:type="gramStart"/>
            <w:r w:rsidRPr="00FE454A">
              <w:rPr>
                <w:b/>
                <w:sz w:val="22"/>
                <w:szCs w:val="22"/>
              </w:rPr>
              <w:t>prioritaire</w:t>
            </w:r>
            <w:proofErr w:type="spellEnd"/>
            <w:r w:rsidRPr="00FE454A">
              <w:rPr>
                <w:b/>
                <w:sz w:val="22"/>
                <w:szCs w:val="22"/>
              </w:rPr>
              <w:t> :</w:t>
            </w:r>
            <w:proofErr w:type="gramEnd"/>
            <w:r w:rsidRPr="00FE454A">
              <w:rPr>
                <w:b/>
                <w:sz w:val="22"/>
                <w:szCs w:val="22"/>
              </w:rPr>
              <w:t xml:space="preserve"> </w:t>
            </w:r>
          </w:p>
        </w:tc>
        <w:tc>
          <w:tcPr>
            <w:tcW w:w="4791" w:type="dxa"/>
            <w:shd w:val="clear" w:color="auto" w:fill="auto"/>
          </w:tcPr>
          <w:p w:rsidR="000B14F5" w:rsidRPr="00057CAF" w:rsidRDefault="000B14F5" w:rsidP="005610F4">
            <w:pPr>
              <w:rPr>
                <w:sz w:val="22"/>
                <w:szCs w:val="22"/>
                <w:lang w:val="fr-FR"/>
              </w:rPr>
            </w:pPr>
            <w:r w:rsidRPr="00057CAF">
              <w:rPr>
                <w:rFonts w:cstheme="minorHAnsi"/>
                <w:sz w:val="22"/>
                <w:szCs w:val="22"/>
                <w:lang w:val="fr-FR"/>
              </w:rPr>
              <w:t>Par ses actions centrées sur la biodiversité (Q8), particulièrement M7.6, M10 et M12 (M12.1, M12.2), le PDR contribue favorablement à l’objectif général de la stratégie de l’UE en faveur de la biodiversité, dont il enraye le déclin sans l’empêcher totalement</w:t>
            </w:r>
            <w:r w:rsidRPr="00057CAF">
              <w:rPr>
                <w:rFonts w:cstheme="minorHAnsi"/>
                <w:color w:val="000000"/>
                <w:sz w:val="22"/>
                <w:szCs w:val="22"/>
                <w:lang w:val="fr-FR"/>
              </w:rPr>
              <w:t>.</w:t>
            </w:r>
          </w:p>
        </w:tc>
        <w:tc>
          <w:tcPr>
            <w:tcW w:w="850" w:type="dxa"/>
            <w:shd w:val="clear" w:color="auto" w:fill="auto"/>
          </w:tcPr>
          <w:p w:rsidR="000B14F5" w:rsidRPr="00FE454A" w:rsidRDefault="000B14F5" w:rsidP="005610F4">
            <w:pPr>
              <w:rPr>
                <w:sz w:val="22"/>
                <w:szCs w:val="22"/>
              </w:rPr>
            </w:pPr>
            <w:r w:rsidRPr="00FE454A">
              <w:rPr>
                <w:sz w:val="22"/>
                <w:szCs w:val="22"/>
              </w:rPr>
              <w:t>+</w:t>
            </w:r>
          </w:p>
        </w:tc>
      </w:tr>
      <w:tr w:rsidR="000B14F5" w:rsidRPr="00FE454A" w:rsidTr="008842E8">
        <w:tc>
          <w:tcPr>
            <w:tcW w:w="3568" w:type="dxa"/>
            <w:shd w:val="clear" w:color="auto" w:fill="auto"/>
          </w:tcPr>
          <w:p w:rsidR="000B14F5" w:rsidRPr="00057CAF" w:rsidRDefault="000B14F5" w:rsidP="005610F4">
            <w:pPr>
              <w:rPr>
                <w:b/>
                <w:sz w:val="22"/>
                <w:szCs w:val="22"/>
                <w:lang w:val="fr-FR"/>
              </w:rPr>
            </w:pPr>
            <w:r w:rsidRPr="00057CAF">
              <w:rPr>
                <w:b/>
                <w:sz w:val="22"/>
                <w:szCs w:val="22"/>
                <w:lang w:val="fr-FR"/>
              </w:rPr>
              <w:t xml:space="preserve">Objectif 1 : mettre pleinement en </w:t>
            </w:r>
            <w:r w:rsidR="00467012" w:rsidRPr="00057CAF">
              <w:rPr>
                <w:b/>
                <w:sz w:val="22"/>
                <w:szCs w:val="22"/>
                <w:lang w:val="fr-FR"/>
              </w:rPr>
              <w:t>œuvre</w:t>
            </w:r>
            <w:r w:rsidRPr="00057CAF">
              <w:rPr>
                <w:b/>
                <w:sz w:val="22"/>
                <w:szCs w:val="22"/>
                <w:lang w:val="fr-FR"/>
              </w:rPr>
              <w:t xml:space="preserve"> les directives</w:t>
            </w:r>
            <w:proofErr w:type="gramStart"/>
            <w:r w:rsidRPr="00057CAF">
              <w:rPr>
                <w:b/>
                <w:sz w:val="22"/>
                <w:szCs w:val="22"/>
                <w:lang w:val="fr-FR"/>
              </w:rPr>
              <w:t xml:space="preserve"> «Oiseaux</w:t>
            </w:r>
            <w:proofErr w:type="gramEnd"/>
            <w:r w:rsidRPr="00057CAF">
              <w:rPr>
                <w:b/>
                <w:sz w:val="22"/>
                <w:szCs w:val="22"/>
                <w:lang w:val="fr-FR"/>
              </w:rPr>
              <w:t>» et «Habitats»</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Le PDR est un instrument important de mise en œuvre des directives « Oiseaux » et « Habitats »</w:t>
            </w:r>
          </w:p>
        </w:tc>
        <w:tc>
          <w:tcPr>
            <w:tcW w:w="850" w:type="dxa"/>
            <w:shd w:val="clear" w:color="auto" w:fill="auto"/>
          </w:tcPr>
          <w:p w:rsidR="000B14F5" w:rsidRPr="00FE454A" w:rsidRDefault="000B14F5" w:rsidP="005610F4">
            <w:pPr>
              <w:rPr>
                <w:sz w:val="22"/>
                <w:szCs w:val="22"/>
              </w:rPr>
            </w:pPr>
            <w:r w:rsidRPr="00FE454A">
              <w:rPr>
                <w:sz w:val="22"/>
                <w:szCs w:val="22"/>
              </w:rPr>
              <w:t>+</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Action 1 - Achever la mise en place du réseau Natura 2000 et en assurer la bonne gestion</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Contribution à travers M7.6, M10, M12.1, M12.2</w:t>
            </w:r>
          </w:p>
        </w:tc>
        <w:tc>
          <w:tcPr>
            <w:tcW w:w="850" w:type="dxa"/>
            <w:shd w:val="clear" w:color="auto" w:fill="auto"/>
          </w:tcPr>
          <w:p w:rsidR="000B14F5" w:rsidRPr="00FE454A" w:rsidRDefault="000B14F5" w:rsidP="005610F4">
            <w:pPr>
              <w:rPr>
                <w:sz w:val="22"/>
                <w:szCs w:val="22"/>
              </w:rPr>
            </w:pPr>
            <w:r w:rsidRPr="00FE454A">
              <w:rPr>
                <w:sz w:val="22"/>
                <w:szCs w:val="22"/>
              </w:rPr>
              <w:t>+</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Action 2 - Assurer un financement adéquat des sites Natura 2000</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Le PDR est l’un des mécanismes de financement.</w:t>
            </w:r>
          </w:p>
        </w:tc>
        <w:tc>
          <w:tcPr>
            <w:tcW w:w="850" w:type="dxa"/>
            <w:shd w:val="clear" w:color="auto" w:fill="auto"/>
          </w:tcPr>
          <w:p w:rsidR="000B14F5" w:rsidRPr="00FE454A" w:rsidRDefault="000B14F5" w:rsidP="005610F4">
            <w:pPr>
              <w:rPr>
                <w:sz w:val="22"/>
                <w:szCs w:val="22"/>
              </w:rPr>
            </w:pPr>
            <w:r w:rsidRPr="00FE454A">
              <w:rPr>
                <w:sz w:val="22"/>
                <w:szCs w:val="22"/>
              </w:rPr>
              <w:t>+</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Action 3 - Renforcer la prise de conscience et la participation des parties prenantes et améliorer l'application de la législation</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M12 et les conditionnalités constituent des incitants à respecter l’application de la législation. M10 (mesures ciblées) introduit une forme de participation et contribue, avec quelques rares actions M1 à la prise de conscience.</w:t>
            </w:r>
          </w:p>
        </w:tc>
        <w:tc>
          <w:tcPr>
            <w:tcW w:w="850" w:type="dxa"/>
            <w:shd w:val="clear" w:color="auto" w:fill="auto"/>
          </w:tcPr>
          <w:p w:rsidR="000B14F5" w:rsidRPr="00FE454A" w:rsidRDefault="000B14F5" w:rsidP="005610F4">
            <w:pPr>
              <w:rPr>
                <w:sz w:val="22"/>
                <w:szCs w:val="22"/>
              </w:rPr>
            </w:pPr>
            <w:r w:rsidRPr="00FE454A">
              <w:rPr>
                <w:sz w:val="22"/>
                <w:szCs w:val="22"/>
              </w:rPr>
              <w:t>+</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Action 4 - Améliorer et rationnaliser le suivi et la notification</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Pas d’effet détecté du PDR</w:t>
            </w:r>
          </w:p>
        </w:tc>
        <w:tc>
          <w:tcPr>
            <w:tcW w:w="850" w:type="dxa"/>
            <w:shd w:val="clear" w:color="auto" w:fill="auto"/>
          </w:tcPr>
          <w:p w:rsidR="000B14F5" w:rsidRPr="00FE454A" w:rsidRDefault="000B14F5" w:rsidP="005610F4">
            <w:pPr>
              <w:rPr>
                <w:sz w:val="22"/>
                <w:szCs w:val="22"/>
              </w:rPr>
            </w:pPr>
            <w:r w:rsidRPr="00FE454A">
              <w:rPr>
                <w:sz w:val="22"/>
                <w:szCs w:val="22"/>
              </w:rPr>
              <w:t>0</w:t>
            </w:r>
          </w:p>
        </w:tc>
      </w:tr>
      <w:tr w:rsidR="000B14F5" w:rsidRPr="00FE454A" w:rsidTr="008842E8">
        <w:tc>
          <w:tcPr>
            <w:tcW w:w="3568" w:type="dxa"/>
            <w:shd w:val="clear" w:color="auto" w:fill="auto"/>
          </w:tcPr>
          <w:p w:rsidR="000B14F5" w:rsidRPr="00057CAF" w:rsidRDefault="000B14F5" w:rsidP="005610F4">
            <w:pPr>
              <w:rPr>
                <w:b/>
                <w:sz w:val="22"/>
                <w:szCs w:val="22"/>
                <w:lang w:val="fr-FR"/>
              </w:rPr>
            </w:pPr>
            <w:r w:rsidRPr="00057CAF">
              <w:rPr>
                <w:b/>
                <w:sz w:val="22"/>
                <w:szCs w:val="22"/>
                <w:lang w:val="fr-FR"/>
              </w:rPr>
              <w:t>Objectif 2 : Préserver et rétablir les écosystèmes et leurs services</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Contribution relativement importante via M7.6, M10 et M12</w:t>
            </w:r>
          </w:p>
        </w:tc>
        <w:tc>
          <w:tcPr>
            <w:tcW w:w="850" w:type="dxa"/>
            <w:shd w:val="clear" w:color="auto" w:fill="auto"/>
          </w:tcPr>
          <w:p w:rsidR="000B14F5" w:rsidRPr="00FE454A" w:rsidRDefault="000B14F5" w:rsidP="005610F4">
            <w:pPr>
              <w:rPr>
                <w:sz w:val="22"/>
                <w:szCs w:val="22"/>
              </w:rPr>
            </w:pPr>
            <w:r w:rsidRPr="00FE454A">
              <w:rPr>
                <w:sz w:val="22"/>
                <w:szCs w:val="22"/>
              </w:rPr>
              <w:t>+</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Action 5 - Améliorer la connaissance des écosystèmes et de leurs services dans l'UE</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Pas d’effet détecté du PDR</w:t>
            </w:r>
          </w:p>
        </w:tc>
        <w:tc>
          <w:tcPr>
            <w:tcW w:w="850" w:type="dxa"/>
            <w:shd w:val="clear" w:color="auto" w:fill="auto"/>
          </w:tcPr>
          <w:p w:rsidR="000B14F5" w:rsidRPr="00FE454A" w:rsidRDefault="000B14F5" w:rsidP="005610F4">
            <w:pPr>
              <w:rPr>
                <w:sz w:val="22"/>
                <w:szCs w:val="22"/>
              </w:rPr>
            </w:pPr>
            <w:r w:rsidRPr="00FE454A">
              <w:rPr>
                <w:sz w:val="22"/>
                <w:szCs w:val="22"/>
              </w:rPr>
              <w:t>0</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 xml:space="preserve">Action </w:t>
            </w:r>
            <w:proofErr w:type="gramStart"/>
            <w:r w:rsidRPr="00057CAF">
              <w:rPr>
                <w:sz w:val="22"/>
                <w:szCs w:val="22"/>
                <w:lang w:val="fr-FR"/>
              </w:rPr>
              <w:t>6:</w:t>
            </w:r>
            <w:proofErr w:type="gramEnd"/>
            <w:r w:rsidRPr="00057CAF">
              <w:rPr>
                <w:sz w:val="22"/>
                <w:szCs w:val="22"/>
                <w:lang w:val="fr-FR"/>
              </w:rPr>
              <w:t xml:space="preserve"> Fixer des priorités pour rétablir les écosystèmes et étendre l'utilisation de l'infrastructure verte</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Pas d’effet détecté du PDR, en dehors de quelques actions locales soutenues par le PDR et ayant défini des priorités en termes de cibles de conservation (Q8).</w:t>
            </w:r>
          </w:p>
        </w:tc>
        <w:tc>
          <w:tcPr>
            <w:tcW w:w="850" w:type="dxa"/>
            <w:shd w:val="clear" w:color="auto" w:fill="auto"/>
          </w:tcPr>
          <w:p w:rsidR="000B14F5" w:rsidRPr="00FE454A" w:rsidRDefault="000B14F5" w:rsidP="005610F4">
            <w:pPr>
              <w:rPr>
                <w:sz w:val="22"/>
                <w:szCs w:val="22"/>
              </w:rPr>
            </w:pPr>
            <w:r w:rsidRPr="00FE454A">
              <w:rPr>
                <w:sz w:val="22"/>
                <w:szCs w:val="22"/>
              </w:rPr>
              <w:t>0</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 xml:space="preserve">Action </w:t>
            </w:r>
            <w:proofErr w:type="gramStart"/>
            <w:r w:rsidRPr="00057CAF">
              <w:rPr>
                <w:sz w:val="22"/>
                <w:szCs w:val="22"/>
                <w:lang w:val="fr-FR"/>
              </w:rPr>
              <w:t>7:</w:t>
            </w:r>
            <w:proofErr w:type="gramEnd"/>
            <w:r w:rsidRPr="00057CAF">
              <w:rPr>
                <w:sz w:val="22"/>
                <w:szCs w:val="22"/>
                <w:lang w:val="fr-FR"/>
              </w:rPr>
              <w:t xml:space="preserve"> Éviter toute perte nette de biodiversité et de services écosystémiques</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Les tendances défavorables (pertes nettes) ne sont pas arrêtées, mais le PDR agit en ce sens.</w:t>
            </w:r>
          </w:p>
        </w:tc>
        <w:tc>
          <w:tcPr>
            <w:tcW w:w="850" w:type="dxa"/>
            <w:shd w:val="clear" w:color="auto" w:fill="auto"/>
          </w:tcPr>
          <w:p w:rsidR="000B14F5" w:rsidRPr="00FE454A" w:rsidRDefault="000B14F5" w:rsidP="005610F4">
            <w:pPr>
              <w:rPr>
                <w:sz w:val="22"/>
                <w:szCs w:val="22"/>
              </w:rPr>
            </w:pPr>
            <w:r w:rsidRPr="00FE454A">
              <w:rPr>
                <w:sz w:val="22"/>
                <w:szCs w:val="22"/>
              </w:rPr>
              <w:t>+</w:t>
            </w:r>
          </w:p>
        </w:tc>
      </w:tr>
      <w:tr w:rsidR="000B14F5" w:rsidRPr="00FE454A" w:rsidTr="008842E8">
        <w:tc>
          <w:tcPr>
            <w:tcW w:w="3568" w:type="dxa"/>
            <w:shd w:val="clear" w:color="auto" w:fill="auto"/>
          </w:tcPr>
          <w:p w:rsidR="000B14F5" w:rsidRPr="00057CAF" w:rsidRDefault="000B14F5" w:rsidP="005610F4">
            <w:pPr>
              <w:rPr>
                <w:b/>
                <w:sz w:val="22"/>
                <w:szCs w:val="22"/>
                <w:lang w:val="fr-FR"/>
              </w:rPr>
            </w:pPr>
            <w:r w:rsidRPr="00057CAF">
              <w:rPr>
                <w:b/>
                <w:sz w:val="22"/>
                <w:szCs w:val="22"/>
                <w:lang w:val="fr-FR"/>
              </w:rPr>
              <w:t>Objectif 3 : renforcer la contribution de l'agriculture et de la foresterie au maintien et à l'amélioration de la biodiversité</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Le PDR continue à renforcer la contribution l'agriculture et de la foresterie au maintien et à l'amélioration de la biodiversité</w:t>
            </w:r>
          </w:p>
        </w:tc>
        <w:tc>
          <w:tcPr>
            <w:tcW w:w="850" w:type="dxa"/>
            <w:shd w:val="clear" w:color="auto" w:fill="auto"/>
          </w:tcPr>
          <w:p w:rsidR="000B14F5" w:rsidRPr="00FE454A" w:rsidRDefault="000B14F5" w:rsidP="005610F4">
            <w:pPr>
              <w:rPr>
                <w:sz w:val="22"/>
                <w:szCs w:val="22"/>
              </w:rPr>
            </w:pPr>
            <w:r w:rsidRPr="00FE454A">
              <w:rPr>
                <w:sz w:val="22"/>
                <w:szCs w:val="22"/>
              </w:rPr>
              <w:t>+</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Action 8 - Intensifier les paiements directs pour les biens publics environnementaux au sein de la politique agricole commune de l'UE</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 xml:space="preserve">Le PDR n’est pas concerné par les </w:t>
            </w:r>
            <w:proofErr w:type="gramStart"/>
            <w:r w:rsidRPr="00057CAF">
              <w:rPr>
                <w:sz w:val="22"/>
                <w:szCs w:val="22"/>
                <w:lang w:val="fr-FR"/>
              </w:rPr>
              <w:t>«  paiements</w:t>
            </w:r>
            <w:proofErr w:type="gramEnd"/>
            <w:r w:rsidRPr="00057CAF">
              <w:rPr>
                <w:sz w:val="22"/>
                <w:szCs w:val="22"/>
                <w:lang w:val="fr-FR"/>
              </w:rPr>
              <w:t xml:space="preserve"> directs » au sens de la PAC. Le PDR contribue au même objectif à travers M10, sans qu’on ne puisse parler d’intensification des paiements par rapport au PDR précédent, dans la mesure où ces derniers ont baissé après 2012.</w:t>
            </w:r>
          </w:p>
        </w:tc>
        <w:tc>
          <w:tcPr>
            <w:tcW w:w="850" w:type="dxa"/>
            <w:shd w:val="clear" w:color="auto" w:fill="auto"/>
          </w:tcPr>
          <w:p w:rsidR="000B14F5" w:rsidRPr="00FE454A" w:rsidRDefault="000B14F5" w:rsidP="005610F4">
            <w:pPr>
              <w:rPr>
                <w:sz w:val="22"/>
                <w:szCs w:val="22"/>
              </w:rPr>
            </w:pPr>
            <w:r w:rsidRPr="00FE454A">
              <w:rPr>
                <w:sz w:val="22"/>
                <w:szCs w:val="22"/>
              </w:rPr>
              <w:t>0</w:t>
            </w:r>
          </w:p>
          <w:p w:rsidR="000B14F5" w:rsidRPr="00FE454A" w:rsidRDefault="000B14F5" w:rsidP="005610F4">
            <w:pPr>
              <w:rPr>
                <w:sz w:val="22"/>
                <w:szCs w:val="22"/>
              </w:rPr>
            </w:pP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Action 9 - Orienter davantage le développement rural vers la conservation de la biodiversité</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 xml:space="preserve">Le PDR actuel ne montre pas de changement important d’orientation en faveur de la conservation de la biodiversité par rapport au précédent, mais il </w:t>
            </w:r>
            <w:r w:rsidRPr="00057CAF">
              <w:rPr>
                <w:sz w:val="22"/>
                <w:szCs w:val="22"/>
                <w:lang w:val="fr-FR"/>
              </w:rPr>
              <w:lastRenderedPageBreak/>
              <w:t>reste largement orienté en ce sens par les mesures M7.6, M10 et M12</w:t>
            </w:r>
          </w:p>
        </w:tc>
        <w:tc>
          <w:tcPr>
            <w:tcW w:w="850" w:type="dxa"/>
            <w:shd w:val="clear" w:color="auto" w:fill="auto"/>
          </w:tcPr>
          <w:p w:rsidR="000B14F5" w:rsidRPr="00FE454A" w:rsidRDefault="000B14F5" w:rsidP="005610F4">
            <w:pPr>
              <w:rPr>
                <w:sz w:val="22"/>
                <w:szCs w:val="22"/>
              </w:rPr>
            </w:pPr>
            <w:r w:rsidRPr="00FE454A">
              <w:rPr>
                <w:sz w:val="22"/>
                <w:szCs w:val="22"/>
              </w:rPr>
              <w:lastRenderedPageBreak/>
              <w:t>0</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 xml:space="preserve">Action </w:t>
            </w:r>
            <w:proofErr w:type="gramStart"/>
            <w:r w:rsidRPr="00057CAF">
              <w:rPr>
                <w:sz w:val="22"/>
                <w:szCs w:val="22"/>
                <w:lang w:val="fr-FR"/>
              </w:rPr>
              <w:t>10:</w:t>
            </w:r>
            <w:proofErr w:type="gramEnd"/>
            <w:r w:rsidRPr="00057CAF">
              <w:rPr>
                <w:sz w:val="22"/>
                <w:szCs w:val="22"/>
                <w:lang w:val="fr-FR"/>
              </w:rPr>
              <w:t xml:space="preserve"> Conserver la diversité génétique agricole de l'Europe</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MB11 (M10) contribue au maintien de la diversité génétique des animaux d’élevage ; le PDR n’agit qu’indirectement en faveur de la diversité génétique des plantes cultivées (Q8).</w:t>
            </w:r>
          </w:p>
        </w:tc>
        <w:tc>
          <w:tcPr>
            <w:tcW w:w="850" w:type="dxa"/>
            <w:shd w:val="clear" w:color="auto" w:fill="auto"/>
          </w:tcPr>
          <w:p w:rsidR="000B14F5" w:rsidRPr="00FE454A" w:rsidRDefault="000B14F5" w:rsidP="005610F4">
            <w:pPr>
              <w:rPr>
                <w:sz w:val="22"/>
                <w:szCs w:val="22"/>
              </w:rPr>
            </w:pPr>
            <w:r w:rsidRPr="00FE454A">
              <w:rPr>
                <w:sz w:val="22"/>
                <w:szCs w:val="22"/>
              </w:rPr>
              <w:t>+</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 xml:space="preserve">Action </w:t>
            </w:r>
            <w:proofErr w:type="gramStart"/>
            <w:r w:rsidRPr="00057CAF">
              <w:rPr>
                <w:sz w:val="22"/>
                <w:szCs w:val="22"/>
                <w:lang w:val="fr-FR"/>
              </w:rPr>
              <w:t>11:</w:t>
            </w:r>
            <w:proofErr w:type="gramEnd"/>
            <w:r w:rsidRPr="00057CAF">
              <w:rPr>
                <w:sz w:val="22"/>
                <w:szCs w:val="22"/>
                <w:lang w:val="fr-FR"/>
              </w:rPr>
              <w:t xml:space="preserve"> Encourager les propriétaires forestiers à protéger et à améliorer la biodiversité forestière</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M12.2 encourage indirectement les propriétaires privés de forêts à mieux intégrer la biodiversité dans la gestion de celles-ci.</w:t>
            </w:r>
          </w:p>
        </w:tc>
        <w:tc>
          <w:tcPr>
            <w:tcW w:w="850" w:type="dxa"/>
            <w:shd w:val="clear" w:color="auto" w:fill="auto"/>
          </w:tcPr>
          <w:p w:rsidR="000B14F5" w:rsidRPr="00FE454A" w:rsidRDefault="000B14F5" w:rsidP="005610F4">
            <w:pPr>
              <w:rPr>
                <w:sz w:val="22"/>
                <w:szCs w:val="22"/>
              </w:rPr>
            </w:pPr>
            <w:r w:rsidRPr="00FE454A">
              <w:rPr>
                <w:sz w:val="22"/>
                <w:szCs w:val="22"/>
              </w:rPr>
              <w:t>+</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 xml:space="preserve">Action </w:t>
            </w:r>
            <w:proofErr w:type="gramStart"/>
            <w:r w:rsidRPr="00057CAF">
              <w:rPr>
                <w:sz w:val="22"/>
                <w:szCs w:val="22"/>
                <w:lang w:val="fr-FR"/>
              </w:rPr>
              <w:t>12:</w:t>
            </w:r>
            <w:proofErr w:type="gramEnd"/>
            <w:r w:rsidRPr="00057CAF">
              <w:rPr>
                <w:sz w:val="22"/>
                <w:szCs w:val="22"/>
                <w:lang w:val="fr-FR"/>
              </w:rPr>
              <w:t xml:space="preserve"> Intégrer des mesures de biodiversité dans les plans de gestion des forêts</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M12.2 encourage indirectement les propriétaires privés de forêts à mieux intégrer la biodiversité dans les plans de gestion.</w:t>
            </w:r>
          </w:p>
        </w:tc>
        <w:tc>
          <w:tcPr>
            <w:tcW w:w="850" w:type="dxa"/>
            <w:shd w:val="clear" w:color="auto" w:fill="auto"/>
          </w:tcPr>
          <w:p w:rsidR="000B14F5" w:rsidRPr="00FE454A" w:rsidRDefault="000B14F5" w:rsidP="005610F4">
            <w:pPr>
              <w:rPr>
                <w:sz w:val="22"/>
                <w:szCs w:val="22"/>
              </w:rPr>
            </w:pPr>
            <w:r w:rsidRPr="00FE454A">
              <w:rPr>
                <w:sz w:val="22"/>
                <w:szCs w:val="22"/>
              </w:rPr>
              <w:t>+</w:t>
            </w:r>
          </w:p>
        </w:tc>
      </w:tr>
      <w:tr w:rsidR="000B14F5" w:rsidRPr="00FE454A" w:rsidTr="008842E8">
        <w:tc>
          <w:tcPr>
            <w:tcW w:w="3568" w:type="dxa"/>
            <w:shd w:val="clear" w:color="auto" w:fill="auto"/>
          </w:tcPr>
          <w:p w:rsidR="000B14F5" w:rsidRPr="00057CAF" w:rsidRDefault="000B14F5" w:rsidP="005610F4">
            <w:pPr>
              <w:rPr>
                <w:b/>
                <w:sz w:val="22"/>
                <w:szCs w:val="22"/>
                <w:lang w:val="fr-FR"/>
              </w:rPr>
            </w:pPr>
            <w:r w:rsidRPr="00057CAF">
              <w:rPr>
                <w:b/>
                <w:sz w:val="22"/>
                <w:szCs w:val="22"/>
                <w:lang w:val="fr-FR"/>
              </w:rPr>
              <w:t>Objectif 4 : Garantir l'utilisation durable des ressources de pêche</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Pas d’effet détecté, influence positive possible à travers la qualité des eaux ; malgré le contexte d’une baisse de la demande de viande, il est estimé que le PDR n’a pas d’effet de report de la demande sur le poisson.</w:t>
            </w:r>
          </w:p>
        </w:tc>
        <w:tc>
          <w:tcPr>
            <w:tcW w:w="850" w:type="dxa"/>
            <w:shd w:val="clear" w:color="auto" w:fill="auto"/>
          </w:tcPr>
          <w:p w:rsidR="000B14F5" w:rsidRPr="00FE454A" w:rsidRDefault="000B14F5" w:rsidP="005610F4">
            <w:pPr>
              <w:rPr>
                <w:sz w:val="22"/>
                <w:szCs w:val="22"/>
              </w:rPr>
            </w:pPr>
            <w:r w:rsidRPr="00FE454A">
              <w:rPr>
                <w:sz w:val="22"/>
                <w:szCs w:val="22"/>
              </w:rPr>
              <w:t>0</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Action 13 - Améliorer la gestion des stocks soumis à la pêche</w:t>
            </w:r>
          </w:p>
        </w:tc>
        <w:tc>
          <w:tcPr>
            <w:tcW w:w="4791" w:type="dxa"/>
            <w:shd w:val="clear" w:color="auto" w:fill="auto"/>
          </w:tcPr>
          <w:p w:rsidR="000B14F5" w:rsidRPr="00FE454A" w:rsidRDefault="000B14F5" w:rsidP="005610F4">
            <w:pPr>
              <w:rPr>
                <w:sz w:val="22"/>
                <w:szCs w:val="22"/>
              </w:rPr>
            </w:pPr>
            <w:r w:rsidRPr="00FE454A">
              <w:rPr>
                <w:sz w:val="22"/>
                <w:szCs w:val="22"/>
              </w:rPr>
              <w:t xml:space="preserve">Pas </w:t>
            </w:r>
            <w:proofErr w:type="spellStart"/>
            <w:r w:rsidRPr="00FE454A">
              <w:rPr>
                <w:sz w:val="22"/>
                <w:szCs w:val="22"/>
              </w:rPr>
              <w:t>d’effet</w:t>
            </w:r>
            <w:proofErr w:type="spellEnd"/>
            <w:r w:rsidRPr="00FE454A">
              <w:rPr>
                <w:sz w:val="22"/>
                <w:szCs w:val="22"/>
              </w:rPr>
              <w:t xml:space="preserve"> du PDR</w:t>
            </w:r>
          </w:p>
        </w:tc>
        <w:tc>
          <w:tcPr>
            <w:tcW w:w="850" w:type="dxa"/>
            <w:shd w:val="clear" w:color="auto" w:fill="auto"/>
          </w:tcPr>
          <w:p w:rsidR="000B14F5" w:rsidRPr="00FE454A" w:rsidRDefault="000B14F5" w:rsidP="005610F4">
            <w:pPr>
              <w:rPr>
                <w:sz w:val="22"/>
                <w:szCs w:val="22"/>
              </w:rPr>
            </w:pPr>
            <w:r w:rsidRPr="00FE454A">
              <w:rPr>
                <w:sz w:val="22"/>
                <w:szCs w:val="22"/>
              </w:rPr>
              <w:t>0</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Action 14 - Supprimer les effets négatifs sur les stocks halieutiques, les espèces, les habitats et les écosystèmes.</w:t>
            </w:r>
          </w:p>
        </w:tc>
        <w:tc>
          <w:tcPr>
            <w:tcW w:w="4791" w:type="dxa"/>
            <w:shd w:val="clear" w:color="auto" w:fill="auto"/>
          </w:tcPr>
          <w:p w:rsidR="000B14F5" w:rsidRPr="00057CAF" w:rsidRDefault="000B14F5" w:rsidP="008842E8">
            <w:pPr>
              <w:rPr>
                <w:sz w:val="22"/>
                <w:szCs w:val="22"/>
                <w:lang w:val="fr-FR"/>
              </w:rPr>
            </w:pPr>
            <w:r w:rsidRPr="00057CAF">
              <w:rPr>
                <w:sz w:val="22"/>
                <w:szCs w:val="22"/>
                <w:lang w:val="fr-FR"/>
              </w:rPr>
              <w:t xml:space="preserve">Contribution modeste indirecte à travers l’amélioration de la qualité des eaux (Q9) </w:t>
            </w:r>
          </w:p>
        </w:tc>
        <w:tc>
          <w:tcPr>
            <w:tcW w:w="850" w:type="dxa"/>
            <w:shd w:val="clear" w:color="auto" w:fill="auto"/>
          </w:tcPr>
          <w:p w:rsidR="000B14F5" w:rsidRPr="00FE454A" w:rsidRDefault="000B14F5" w:rsidP="005610F4">
            <w:pPr>
              <w:rPr>
                <w:sz w:val="22"/>
                <w:szCs w:val="22"/>
              </w:rPr>
            </w:pPr>
            <w:r w:rsidRPr="00FE454A">
              <w:rPr>
                <w:sz w:val="22"/>
                <w:szCs w:val="22"/>
              </w:rPr>
              <w:t>0</w:t>
            </w:r>
          </w:p>
        </w:tc>
      </w:tr>
      <w:tr w:rsidR="000B14F5" w:rsidRPr="00FE454A" w:rsidTr="008842E8">
        <w:tc>
          <w:tcPr>
            <w:tcW w:w="3568" w:type="dxa"/>
            <w:shd w:val="clear" w:color="auto" w:fill="auto"/>
          </w:tcPr>
          <w:p w:rsidR="000B14F5" w:rsidRPr="00057CAF" w:rsidRDefault="000B14F5" w:rsidP="005610F4">
            <w:pPr>
              <w:rPr>
                <w:b/>
                <w:sz w:val="22"/>
                <w:szCs w:val="22"/>
                <w:lang w:val="fr-FR"/>
              </w:rPr>
            </w:pPr>
            <w:r w:rsidRPr="00057CAF">
              <w:rPr>
                <w:b/>
                <w:sz w:val="22"/>
                <w:szCs w:val="22"/>
                <w:lang w:val="fr-FR"/>
              </w:rPr>
              <w:t>Objectif 5 : Lutter contre les espèces allogènes envahissantes</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 xml:space="preserve">Actions ponctuelles dans certains GAL, quelques projets M7.6 (par exemple gestion de la Balsamine de l’Himalaya le long de l’Ourthe entre </w:t>
            </w:r>
            <w:proofErr w:type="spellStart"/>
            <w:r w:rsidRPr="00057CAF">
              <w:rPr>
                <w:sz w:val="22"/>
                <w:szCs w:val="22"/>
                <w:lang w:val="fr-FR"/>
              </w:rPr>
              <w:t>Nisramont</w:t>
            </w:r>
            <w:proofErr w:type="spellEnd"/>
            <w:r w:rsidRPr="00057CAF">
              <w:rPr>
                <w:sz w:val="22"/>
                <w:szCs w:val="22"/>
                <w:lang w:val="fr-FR"/>
              </w:rPr>
              <w:t xml:space="preserve"> et La Roche, restauration de mares à </w:t>
            </w:r>
            <w:proofErr w:type="spellStart"/>
            <w:r w:rsidRPr="00057CAF">
              <w:rPr>
                <w:sz w:val="22"/>
                <w:szCs w:val="22"/>
                <w:lang w:val="fr-FR"/>
              </w:rPr>
              <w:t>Attert</w:t>
            </w:r>
            <w:proofErr w:type="spellEnd"/>
            <w:r w:rsidRPr="00057CAF">
              <w:rPr>
                <w:sz w:val="22"/>
                <w:szCs w:val="22"/>
                <w:lang w:val="fr-FR"/>
              </w:rPr>
              <w:t>, divers projets de lutte contre l’épicéa si on le considère comme envahissant)</w:t>
            </w:r>
          </w:p>
        </w:tc>
        <w:tc>
          <w:tcPr>
            <w:tcW w:w="850" w:type="dxa"/>
            <w:shd w:val="clear" w:color="auto" w:fill="auto"/>
          </w:tcPr>
          <w:p w:rsidR="000B14F5" w:rsidRPr="00FE454A" w:rsidRDefault="000B14F5" w:rsidP="005610F4">
            <w:pPr>
              <w:rPr>
                <w:sz w:val="22"/>
                <w:szCs w:val="22"/>
              </w:rPr>
            </w:pPr>
            <w:r w:rsidRPr="00FE454A">
              <w:rPr>
                <w:sz w:val="22"/>
                <w:szCs w:val="22"/>
              </w:rPr>
              <w:t>+</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 xml:space="preserve">Action 15 - Renforcer les régimes phytosanitaires et </w:t>
            </w:r>
            <w:proofErr w:type="spellStart"/>
            <w:r w:rsidRPr="00057CAF">
              <w:rPr>
                <w:sz w:val="22"/>
                <w:szCs w:val="22"/>
                <w:lang w:val="fr-FR"/>
              </w:rPr>
              <w:t>zoosanitaires</w:t>
            </w:r>
            <w:proofErr w:type="spellEnd"/>
            <w:r w:rsidRPr="00057CAF">
              <w:rPr>
                <w:sz w:val="22"/>
                <w:szCs w:val="22"/>
                <w:lang w:val="fr-FR"/>
              </w:rPr>
              <w:t xml:space="preserve"> de l'UE</w:t>
            </w:r>
          </w:p>
        </w:tc>
        <w:tc>
          <w:tcPr>
            <w:tcW w:w="4791" w:type="dxa"/>
            <w:shd w:val="clear" w:color="auto" w:fill="auto"/>
          </w:tcPr>
          <w:p w:rsidR="000B14F5" w:rsidRPr="00FE454A" w:rsidRDefault="000B14F5" w:rsidP="005610F4">
            <w:pPr>
              <w:rPr>
                <w:sz w:val="22"/>
                <w:szCs w:val="22"/>
              </w:rPr>
            </w:pPr>
            <w:r w:rsidRPr="00FE454A">
              <w:rPr>
                <w:sz w:val="22"/>
                <w:szCs w:val="22"/>
              </w:rPr>
              <w:t xml:space="preserve">Pas </w:t>
            </w:r>
            <w:proofErr w:type="spellStart"/>
            <w:r w:rsidRPr="00FE454A">
              <w:rPr>
                <w:sz w:val="22"/>
                <w:szCs w:val="22"/>
              </w:rPr>
              <w:t>d’effet</w:t>
            </w:r>
            <w:proofErr w:type="spellEnd"/>
            <w:r w:rsidRPr="00FE454A">
              <w:rPr>
                <w:sz w:val="22"/>
                <w:szCs w:val="22"/>
              </w:rPr>
              <w:t xml:space="preserve"> du PDR</w:t>
            </w:r>
          </w:p>
        </w:tc>
        <w:tc>
          <w:tcPr>
            <w:tcW w:w="850" w:type="dxa"/>
            <w:shd w:val="clear" w:color="auto" w:fill="auto"/>
          </w:tcPr>
          <w:p w:rsidR="000B14F5" w:rsidRPr="00FE454A" w:rsidRDefault="000B14F5" w:rsidP="005610F4">
            <w:pPr>
              <w:rPr>
                <w:sz w:val="22"/>
                <w:szCs w:val="22"/>
              </w:rPr>
            </w:pPr>
            <w:r w:rsidRPr="00FE454A">
              <w:rPr>
                <w:sz w:val="22"/>
                <w:szCs w:val="22"/>
              </w:rPr>
              <w:t>0</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 xml:space="preserve">Action </w:t>
            </w:r>
            <w:proofErr w:type="gramStart"/>
            <w:r w:rsidRPr="00057CAF">
              <w:rPr>
                <w:sz w:val="22"/>
                <w:szCs w:val="22"/>
                <w:lang w:val="fr-FR"/>
              </w:rPr>
              <w:t>16:</w:t>
            </w:r>
            <w:proofErr w:type="gramEnd"/>
            <w:r w:rsidRPr="00057CAF">
              <w:rPr>
                <w:sz w:val="22"/>
                <w:szCs w:val="22"/>
                <w:lang w:val="fr-FR"/>
              </w:rPr>
              <w:t xml:space="preserve"> Mettre en place un instrument spécifique pour les espèces allogènes envahissantes</w:t>
            </w:r>
          </w:p>
        </w:tc>
        <w:tc>
          <w:tcPr>
            <w:tcW w:w="4791" w:type="dxa"/>
            <w:shd w:val="clear" w:color="auto" w:fill="auto"/>
          </w:tcPr>
          <w:p w:rsidR="000B14F5" w:rsidRPr="00FE454A" w:rsidRDefault="000B14F5" w:rsidP="005610F4">
            <w:pPr>
              <w:rPr>
                <w:sz w:val="22"/>
                <w:szCs w:val="22"/>
              </w:rPr>
            </w:pPr>
            <w:r w:rsidRPr="00FE454A">
              <w:rPr>
                <w:sz w:val="22"/>
                <w:szCs w:val="22"/>
              </w:rPr>
              <w:t xml:space="preserve">Pas </w:t>
            </w:r>
            <w:proofErr w:type="spellStart"/>
            <w:r w:rsidRPr="00FE454A">
              <w:rPr>
                <w:sz w:val="22"/>
                <w:szCs w:val="22"/>
              </w:rPr>
              <w:t>d’effet</w:t>
            </w:r>
            <w:proofErr w:type="spellEnd"/>
            <w:r w:rsidRPr="00FE454A">
              <w:rPr>
                <w:sz w:val="22"/>
                <w:szCs w:val="22"/>
              </w:rPr>
              <w:t xml:space="preserve"> du PDR</w:t>
            </w:r>
          </w:p>
        </w:tc>
        <w:tc>
          <w:tcPr>
            <w:tcW w:w="850" w:type="dxa"/>
            <w:shd w:val="clear" w:color="auto" w:fill="auto"/>
          </w:tcPr>
          <w:p w:rsidR="000B14F5" w:rsidRPr="00FE454A" w:rsidRDefault="000B14F5" w:rsidP="005610F4">
            <w:pPr>
              <w:rPr>
                <w:sz w:val="22"/>
                <w:szCs w:val="22"/>
              </w:rPr>
            </w:pPr>
            <w:r w:rsidRPr="00FE454A">
              <w:rPr>
                <w:sz w:val="22"/>
                <w:szCs w:val="22"/>
              </w:rPr>
              <w:t>0</w:t>
            </w:r>
          </w:p>
        </w:tc>
      </w:tr>
      <w:tr w:rsidR="000B14F5" w:rsidRPr="00FE454A" w:rsidTr="008842E8">
        <w:tc>
          <w:tcPr>
            <w:tcW w:w="3568" w:type="dxa"/>
            <w:shd w:val="clear" w:color="auto" w:fill="auto"/>
          </w:tcPr>
          <w:p w:rsidR="000B14F5" w:rsidRPr="00057CAF" w:rsidRDefault="000B14F5" w:rsidP="005610F4">
            <w:pPr>
              <w:rPr>
                <w:b/>
                <w:sz w:val="22"/>
                <w:szCs w:val="22"/>
                <w:lang w:val="fr-FR"/>
              </w:rPr>
            </w:pPr>
            <w:r w:rsidRPr="00057CAF">
              <w:rPr>
                <w:b/>
                <w:sz w:val="22"/>
                <w:szCs w:val="22"/>
                <w:lang w:val="fr-FR"/>
              </w:rPr>
              <w:t>Objectif 6 : Contribuer à enrayer la perte de biodiversité au niveau mondial</w:t>
            </w:r>
          </w:p>
        </w:tc>
        <w:tc>
          <w:tcPr>
            <w:tcW w:w="4791" w:type="dxa"/>
            <w:shd w:val="clear" w:color="auto" w:fill="auto"/>
          </w:tcPr>
          <w:p w:rsidR="000B14F5" w:rsidRPr="00FE454A" w:rsidRDefault="000B14F5" w:rsidP="005610F4">
            <w:pPr>
              <w:rPr>
                <w:sz w:val="22"/>
                <w:szCs w:val="22"/>
              </w:rPr>
            </w:pPr>
            <w:r w:rsidRPr="00FE454A">
              <w:rPr>
                <w:sz w:val="22"/>
                <w:szCs w:val="22"/>
              </w:rPr>
              <w:t xml:space="preserve">Petite contribution </w:t>
            </w:r>
            <w:proofErr w:type="spellStart"/>
            <w:r w:rsidRPr="00FE454A">
              <w:rPr>
                <w:sz w:val="22"/>
                <w:szCs w:val="22"/>
              </w:rPr>
              <w:t>indirecte</w:t>
            </w:r>
            <w:proofErr w:type="spellEnd"/>
          </w:p>
        </w:tc>
        <w:tc>
          <w:tcPr>
            <w:tcW w:w="850" w:type="dxa"/>
            <w:shd w:val="clear" w:color="auto" w:fill="auto"/>
          </w:tcPr>
          <w:p w:rsidR="000B14F5" w:rsidRPr="00FE454A" w:rsidRDefault="000B14F5" w:rsidP="005610F4">
            <w:pPr>
              <w:rPr>
                <w:sz w:val="22"/>
                <w:szCs w:val="22"/>
              </w:rPr>
            </w:pPr>
            <w:r w:rsidRPr="00FE454A">
              <w:rPr>
                <w:sz w:val="22"/>
                <w:szCs w:val="22"/>
              </w:rPr>
              <w:t>0+</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Action 17 - Réduire les causes indirectes de perte de biodiversité</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Contribution du PDR liée à l’éventuelle réduction d’importation d’aliments du bétail (soja et déforestation brésilienne) et aux effets du bétail sur le climat mondial</w:t>
            </w:r>
          </w:p>
        </w:tc>
        <w:tc>
          <w:tcPr>
            <w:tcW w:w="850" w:type="dxa"/>
            <w:shd w:val="clear" w:color="auto" w:fill="auto"/>
          </w:tcPr>
          <w:p w:rsidR="000B14F5" w:rsidRPr="00FE454A" w:rsidRDefault="000B14F5" w:rsidP="005610F4">
            <w:pPr>
              <w:rPr>
                <w:sz w:val="22"/>
                <w:szCs w:val="22"/>
              </w:rPr>
            </w:pPr>
            <w:r w:rsidRPr="00FE454A">
              <w:rPr>
                <w:sz w:val="22"/>
                <w:szCs w:val="22"/>
              </w:rPr>
              <w:t>+</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 xml:space="preserve">Action </w:t>
            </w:r>
            <w:proofErr w:type="gramStart"/>
            <w:r w:rsidRPr="00057CAF">
              <w:rPr>
                <w:sz w:val="22"/>
                <w:szCs w:val="22"/>
                <w:lang w:val="fr-FR"/>
              </w:rPr>
              <w:t>18:</w:t>
            </w:r>
            <w:proofErr w:type="gramEnd"/>
            <w:r w:rsidRPr="00057CAF">
              <w:rPr>
                <w:sz w:val="22"/>
                <w:szCs w:val="22"/>
                <w:lang w:val="fr-FR"/>
              </w:rPr>
              <w:t xml:space="preserve"> Mobiliser des ressources supplémentaires en faveur de la conservation de la biodiversité mondiale</w:t>
            </w:r>
          </w:p>
        </w:tc>
        <w:tc>
          <w:tcPr>
            <w:tcW w:w="4791" w:type="dxa"/>
            <w:shd w:val="clear" w:color="auto" w:fill="auto"/>
          </w:tcPr>
          <w:p w:rsidR="000B14F5" w:rsidRPr="00FE454A" w:rsidRDefault="000B14F5" w:rsidP="005610F4">
            <w:pPr>
              <w:rPr>
                <w:sz w:val="22"/>
                <w:szCs w:val="22"/>
              </w:rPr>
            </w:pPr>
            <w:r w:rsidRPr="00FE454A">
              <w:rPr>
                <w:sz w:val="22"/>
                <w:szCs w:val="22"/>
              </w:rPr>
              <w:t xml:space="preserve">Pas </w:t>
            </w:r>
            <w:proofErr w:type="spellStart"/>
            <w:r w:rsidRPr="00FE454A">
              <w:rPr>
                <w:sz w:val="22"/>
                <w:szCs w:val="22"/>
              </w:rPr>
              <w:t>d’effet</w:t>
            </w:r>
            <w:proofErr w:type="spellEnd"/>
            <w:r w:rsidRPr="00FE454A">
              <w:rPr>
                <w:sz w:val="22"/>
                <w:szCs w:val="22"/>
              </w:rPr>
              <w:t xml:space="preserve"> du PDR</w:t>
            </w:r>
          </w:p>
        </w:tc>
        <w:tc>
          <w:tcPr>
            <w:tcW w:w="850" w:type="dxa"/>
            <w:shd w:val="clear" w:color="auto" w:fill="auto"/>
          </w:tcPr>
          <w:p w:rsidR="000B14F5" w:rsidRPr="00FE454A" w:rsidRDefault="000B14F5" w:rsidP="005610F4">
            <w:pPr>
              <w:rPr>
                <w:sz w:val="22"/>
                <w:szCs w:val="22"/>
              </w:rPr>
            </w:pPr>
            <w:r w:rsidRPr="00FE454A">
              <w:rPr>
                <w:sz w:val="22"/>
                <w:szCs w:val="22"/>
              </w:rPr>
              <w:t>0</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 xml:space="preserve">Action </w:t>
            </w:r>
            <w:proofErr w:type="gramStart"/>
            <w:r w:rsidRPr="00057CAF">
              <w:rPr>
                <w:sz w:val="22"/>
                <w:szCs w:val="22"/>
                <w:lang w:val="fr-FR"/>
              </w:rPr>
              <w:t>19:</w:t>
            </w:r>
            <w:proofErr w:type="gramEnd"/>
            <w:r w:rsidRPr="00057CAF">
              <w:rPr>
                <w:sz w:val="22"/>
                <w:szCs w:val="22"/>
                <w:lang w:val="fr-FR"/>
              </w:rPr>
              <w:t xml:space="preserve"> Une coopération au développement de l'UE respectueuse de la biodiversité</w:t>
            </w:r>
          </w:p>
        </w:tc>
        <w:tc>
          <w:tcPr>
            <w:tcW w:w="4791" w:type="dxa"/>
            <w:shd w:val="clear" w:color="auto" w:fill="auto"/>
          </w:tcPr>
          <w:p w:rsidR="000B14F5" w:rsidRPr="00FE454A" w:rsidRDefault="000B14F5" w:rsidP="005610F4">
            <w:pPr>
              <w:rPr>
                <w:sz w:val="22"/>
                <w:szCs w:val="22"/>
              </w:rPr>
            </w:pPr>
            <w:r w:rsidRPr="00FE454A">
              <w:rPr>
                <w:sz w:val="22"/>
                <w:szCs w:val="22"/>
              </w:rPr>
              <w:t xml:space="preserve">Pas </w:t>
            </w:r>
            <w:proofErr w:type="spellStart"/>
            <w:r w:rsidRPr="00FE454A">
              <w:rPr>
                <w:sz w:val="22"/>
                <w:szCs w:val="22"/>
              </w:rPr>
              <w:t>d’effet</w:t>
            </w:r>
            <w:proofErr w:type="spellEnd"/>
            <w:r w:rsidRPr="00FE454A">
              <w:rPr>
                <w:sz w:val="22"/>
                <w:szCs w:val="22"/>
              </w:rPr>
              <w:t xml:space="preserve"> du PDR</w:t>
            </w:r>
          </w:p>
        </w:tc>
        <w:tc>
          <w:tcPr>
            <w:tcW w:w="850" w:type="dxa"/>
            <w:shd w:val="clear" w:color="auto" w:fill="auto"/>
          </w:tcPr>
          <w:p w:rsidR="000B14F5" w:rsidRPr="00FE454A" w:rsidRDefault="000B14F5" w:rsidP="005610F4">
            <w:pPr>
              <w:rPr>
                <w:sz w:val="22"/>
                <w:szCs w:val="22"/>
              </w:rPr>
            </w:pPr>
            <w:r w:rsidRPr="00FE454A">
              <w:rPr>
                <w:sz w:val="22"/>
                <w:szCs w:val="22"/>
              </w:rPr>
              <w:t>0</w:t>
            </w:r>
          </w:p>
        </w:tc>
      </w:tr>
      <w:tr w:rsidR="000B14F5" w:rsidRPr="00FE454A" w:rsidTr="008842E8">
        <w:tc>
          <w:tcPr>
            <w:tcW w:w="3568" w:type="dxa"/>
            <w:shd w:val="clear" w:color="auto" w:fill="auto"/>
          </w:tcPr>
          <w:p w:rsidR="000B14F5" w:rsidRPr="00057CAF" w:rsidRDefault="000B14F5" w:rsidP="005610F4">
            <w:pPr>
              <w:rPr>
                <w:sz w:val="22"/>
                <w:szCs w:val="22"/>
                <w:lang w:val="fr-FR"/>
              </w:rPr>
            </w:pPr>
            <w:r w:rsidRPr="00057CAF">
              <w:rPr>
                <w:sz w:val="22"/>
                <w:szCs w:val="22"/>
                <w:lang w:val="fr-FR"/>
              </w:rPr>
              <w:t>Action 20 - Réglementer l'accès aux ressources génétiques et le partage juste et équitable des bénéfices résultant de leur utilisation</w:t>
            </w:r>
          </w:p>
        </w:tc>
        <w:tc>
          <w:tcPr>
            <w:tcW w:w="4791" w:type="dxa"/>
            <w:shd w:val="clear" w:color="auto" w:fill="auto"/>
          </w:tcPr>
          <w:p w:rsidR="000B14F5" w:rsidRPr="00057CAF" w:rsidRDefault="000B14F5" w:rsidP="005610F4">
            <w:pPr>
              <w:rPr>
                <w:sz w:val="22"/>
                <w:szCs w:val="22"/>
                <w:lang w:val="fr-FR"/>
              </w:rPr>
            </w:pPr>
            <w:r w:rsidRPr="00057CAF">
              <w:rPr>
                <w:sz w:val="22"/>
                <w:szCs w:val="22"/>
                <w:lang w:val="fr-FR"/>
              </w:rPr>
              <w:t>Pas d’effet détecté du PDR</w:t>
            </w:r>
          </w:p>
        </w:tc>
        <w:tc>
          <w:tcPr>
            <w:tcW w:w="850" w:type="dxa"/>
            <w:shd w:val="clear" w:color="auto" w:fill="auto"/>
          </w:tcPr>
          <w:p w:rsidR="000B14F5" w:rsidRPr="00FE454A" w:rsidRDefault="000B14F5" w:rsidP="005610F4">
            <w:pPr>
              <w:rPr>
                <w:sz w:val="22"/>
                <w:szCs w:val="22"/>
              </w:rPr>
            </w:pPr>
            <w:r w:rsidRPr="00FE454A">
              <w:rPr>
                <w:sz w:val="22"/>
                <w:szCs w:val="22"/>
              </w:rPr>
              <w:t>0</w:t>
            </w:r>
          </w:p>
        </w:tc>
      </w:tr>
    </w:tbl>
    <w:p w:rsidR="000B14F5" w:rsidRDefault="000B14F5" w:rsidP="00B841BF">
      <w:pPr>
        <w:rPr>
          <w:rFonts w:cstheme="minorHAnsi"/>
          <w:color w:val="000000"/>
          <w:szCs w:val="22"/>
        </w:rPr>
      </w:pPr>
    </w:p>
    <w:p w:rsidR="008A1F21" w:rsidRDefault="008A1F21">
      <w:pPr>
        <w:spacing w:after="160" w:line="259" w:lineRule="auto"/>
        <w:jc w:val="left"/>
        <w:rPr>
          <w:rFonts w:asciiTheme="majorHAnsi" w:eastAsiaTheme="majorEastAsia" w:hAnsiTheme="majorHAnsi" w:cstheme="majorBidi"/>
          <w:sz w:val="26"/>
          <w:szCs w:val="26"/>
          <w:u w:val="single"/>
        </w:rPr>
      </w:pPr>
      <w:bookmarkStart w:id="100" w:name="_Toc1055152"/>
      <w:r>
        <w:br w:type="page"/>
      </w:r>
    </w:p>
    <w:p w:rsidR="00FE454A" w:rsidRDefault="00FE454A" w:rsidP="0050022D">
      <w:pPr>
        <w:pStyle w:val="Titre1"/>
        <w:sectPr w:rsidR="00FE454A" w:rsidSect="0050022D">
          <w:type w:val="oddPage"/>
          <w:pgSz w:w="11906" w:h="16838"/>
          <w:pgMar w:top="1417" w:right="1417" w:bottom="1417" w:left="1417" w:header="708" w:footer="708" w:gutter="0"/>
          <w:cols w:space="708"/>
          <w:docGrid w:linePitch="360"/>
        </w:sectPr>
      </w:pPr>
      <w:bookmarkStart w:id="101" w:name="_Toc11278974"/>
    </w:p>
    <w:p w:rsidR="00146DB7" w:rsidRPr="00146DB7" w:rsidRDefault="00146DB7" w:rsidP="0050022D">
      <w:pPr>
        <w:pStyle w:val="Titre1"/>
      </w:pPr>
      <w:bookmarkStart w:id="102" w:name="_Toc25688789"/>
      <w:r w:rsidRPr="00146DB7">
        <w:lastRenderedPageBreak/>
        <w:t xml:space="preserve">Annexe </w:t>
      </w:r>
      <w:r w:rsidR="005610F4">
        <w:t>5</w:t>
      </w:r>
      <w:r w:rsidRPr="00146DB7">
        <w:t>. Analyse du cycle de l’azote</w:t>
      </w:r>
      <w:bookmarkEnd w:id="100"/>
      <w:bookmarkEnd w:id="101"/>
      <w:bookmarkEnd w:id="102"/>
      <w:r w:rsidRPr="00146DB7">
        <w:t xml:space="preserve"> </w:t>
      </w:r>
    </w:p>
    <w:p w:rsidR="00146DB7" w:rsidRPr="00057CAF" w:rsidRDefault="00146DB7" w:rsidP="00FE454A">
      <w:pPr>
        <w:pStyle w:val="Titre2"/>
        <w:rPr>
          <w:rFonts w:eastAsiaTheme="minorHAnsi"/>
          <w:lang w:val="fr-FR"/>
        </w:rPr>
      </w:pPr>
      <w:bookmarkStart w:id="103" w:name="_Toc11333818"/>
      <w:bookmarkStart w:id="104" w:name="_Toc25688790"/>
      <w:r w:rsidRPr="00057CAF">
        <w:rPr>
          <w:rFonts w:eastAsiaTheme="minorHAnsi"/>
          <w:lang w:val="fr-FR"/>
        </w:rPr>
        <w:t>Modèle général</w:t>
      </w:r>
      <w:bookmarkEnd w:id="103"/>
      <w:bookmarkEnd w:id="104"/>
    </w:p>
    <w:p w:rsidR="00146DB7" w:rsidRPr="00057CAF" w:rsidRDefault="00146DB7" w:rsidP="00146DB7">
      <w:pPr>
        <w:spacing w:after="160" w:line="259" w:lineRule="auto"/>
        <w:rPr>
          <w:rFonts w:eastAsiaTheme="minorHAnsi" w:cstheme="minorBidi"/>
          <w:szCs w:val="22"/>
          <w:lang w:val="fr-FR"/>
        </w:rPr>
      </w:pPr>
      <w:r w:rsidRPr="00057CAF">
        <w:rPr>
          <w:rFonts w:eastAsiaTheme="minorHAnsi" w:cstheme="minorBidi"/>
          <w:szCs w:val="22"/>
          <w:lang w:val="fr-FR"/>
        </w:rPr>
        <w:t>La figure suivante montre un modèle général des flux d’azote concernant le système agriculture-élevage en Wallonie, avec 5 flux d’entrée (notés FE), 7 flux internes (notés FI) et 4 flux de sortie (notés FS). Les flux de sorte vers l’environnement sont FS1 et FS3.</w:t>
      </w:r>
    </w:p>
    <w:p w:rsidR="00D94CDF" w:rsidRPr="00146DB7" w:rsidRDefault="00D94CDF" w:rsidP="00146DB7">
      <w:pPr>
        <w:spacing w:after="160" w:line="259" w:lineRule="auto"/>
        <w:rPr>
          <w:rFonts w:eastAsiaTheme="minorHAnsi" w:cstheme="minorBidi"/>
          <w:szCs w:val="22"/>
        </w:rPr>
      </w:pPr>
      <w:r>
        <w:rPr>
          <w:rFonts w:eastAsiaTheme="minorHAnsi" w:cstheme="minorBidi"/>
          <w:noProof/>
          <w:szCs w:val="22"/>
          <w:lang w:val="fr-FR"/>
        </w:rPr>
        <w:drawing>
          <wp:inline distT="0" distB="0" distL="0" distR="0" wp14:anchorId="4BBAD8DE" wp14:editId="50E47F83">
            <wp:extent cx="6096000" cy="3429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pic:spPr>
                </pic:pic>
              </a:graphicData>
            </a:graphic>
          </wp:inline>
        </w:drawing>
      </w:r>
    </w:p>
    <w:p w:rsidR="00146DB7" w:rsidRPr="00057CAF" w:rsidRDefault="00146DB7" w:rsidP="00146DB7">
      <w:pPr>
        <w:spacing w:after="160" w:line="259" w:lineRule="auto"/>
        <w:rPr>
          <w:rFonts w:eastAsiaTheme="minorHAnsi" w:cstheme="minorBidi"/>
          <w:szCs w:val="22"/>
          <w:lang w:val="fr-FR"/>
        </w:rPr>
      </w:pPr>
      <w:r w:rsidRPr="00057CAF">
        <w:rPr>
          <w:rFonts w:eastAsiaTheme="minorHAnsi" w:cstheme="minorBidi"/>
          <w:szCs w:val="22"/>
          <w:lang w:val="fr-FR"/>
        </w:rPr>
        <w:t>Remarques sur la définition de certains flux :</w:t>
      </w:r>
    </w:p>
    <w:p w:rsidR="00146DB7" w:rsidRPr="00057CAF" w:rsidRDefault="00146DB7" w:rsidP="00FE454A">
      <w:pPr>
        <w:pStyle w:val="bullets"/>
        <w:rPr>
          <w:lang w:val="fr-FR"/>
        </w:rPr>
      </w:pPr>
      <w:r w:rsidRPr="00057CAF">
        <w:rPr>
          <w:lang w:val="fr-FR"/>
        </w:rPr>
        <w:t>FE1 concerne les retombées d’azote réactif issues de la pollution atmosphérique ou de l’oxydation de l’azote de l’air par les orages,</w:t>
      </w:r>
    </w:p>
    <w:p w:rsidR="00146DB7" w:rsidRPr="00057CAF" w:rsidRDefault="00146DB7" w:rsidP="00FE454A">
      <w:pPr>
        <w:pStyle w:val="bullets"/>
        <w:rPr>
          <w:lang w:val="fr-FR"/>
        </w:rPr>
      </w:pPr>
      <w:r w:rsidRPr="00057CAF">
        <w:rPr>
          <w:lang w:val="fr-FR"/>
        </w:rPr>
        <w:t>FE2 concerne la fixation bactérienne, notamment par les nodosités associées aux légumineuses,</w:t>
      </w:r>
    </w:p>
    <w:p w:rsidR="00146DB7" w:rsidRPr="00057CAF" w:rsidRDefault="00146DB7" w:rsidP="00FE454A">
      <w:pPr>
        <w:pStyle w:val="bullets"/>
        <w:rPr>
          <w:lang w:val="fr-FR"/>
        </w:rPr>
      </w:pPr>
      <w:r w:rsidRPr="00057CAF">
        <w:rPr>
          <w:lang w:val="fr-FR"/>
        </w:rPr>
        <w:t xml:space="preserve">FE4 concerne les apports organiques autres que les engrais de ferme, tels que ceux issus du compostage de déchets ménagers et de boues de stations d’épuration, </w:t>
      </w:r>
    </w:p>
    <w:p w:rsidR="00146DB7" w:rsidRPr="00057CAF" w:rsidRDefault="00146DB7" w:rsidP="00FE454A">
      <w:pPr>
        <w:pStyle w:val="bullets"/>
        <w:rPr>
          <w:lang w:val="fr-FR"/>
        </w:rPr>
      </w:pPr>
      <w:r w:rsidRPr="00057CAF">
        <w:rPr>
          <w:lang w:val="fr-FR"/>
        </w:rPr>
        <w:t>FE5 inclut une part importée (soja en particulier) et une fraction de FS2 (céréales notamment),</w:t>
      </w:r>
    </w:p>
    <w:p w:rsidR="00146DB7" w:rsidRPr="00057CAF" w:rsidRDefault="00146DB7" w:rsidP="00FE454A">
      <w:pPr>
        <w:pStyle w:val="bullets"/>
        <w:rPr>
          <w:lang w:val="fr-FR"/>
        </w:rPr>
      </w:pPr>
      <w:r w:rsidRPr="00057CAF">
        <w:rPr>
          <w:lang w:val="fr-FR"/>
        </w:rPr>
        <w:t>FI2 comprend les déjections des animaux mis en pâture,</w:t>
      </w:r>
    </w:p>
    <w:p w:rsidR="00146DB7" w:rsidRPr="00057CAF" w:rsidRDefault="00146DB7" w:rsidP="00FE454A">
      <w:pPr>
        <w:pStyle w:val="bullets"/>
        <w:rPr>
          <w:lang w:val="fr-FR"/>
        </w:rPr>
      </w:pPr>
      <w:r w:rsidRPr="00057CAF">
        <w:rPr>
          <w:lang w:val="fr-FR"/>
        </w:rPr>
        <w:t>FI3 comprend la production des prairies et des cultures fourragères,</w:t>
      </w:r>
    </w:p>
    <w:p w:rsidR="00146DB7" w:rsidRPr="00057CAF" w:rsidRDefault="00146DB7" w:rsidP="00FE454A">
      <w:pPr>
        <w:pStyle w:val="bullets"/>
        <w:rPr>
          <w:lang w:val="fr-FR"/>
        </w:rPr>
      </w:pPr>
      <w:r w:rsidRPr="00057CAF">
        <w:rPr>
          <w:lang w:val="fr-FR"/>
        </w:rPr>
        <w:t>FS1 et FS2 sont les flux de sortie vers l’environnement, qu’il s’agit de minimiser ; seule la fraction autre que le diazote (N2) est polluante.</w:t>
      </w:r>
    </w:p>
    <w:p w:rsidR="00146DB7" w:rsidRPr="00057CAF" w:rsidRDefault="00146DB7" w:rsidP="00146DB7">
      <w:pPr>
        <w:spacing w:after="160" w:line="259" w:lineRule="auto"/>
        <w:rPr>
          <w:rFonts w:eastAsiaTheme="minorHAnsi" w:cstheme="minorBidi"/>
          <w:b/>
          <w:szCs w:val="22"/>
          <w:lang w:val="fr-FR"/>
        </w:rPr>
      </w:pPr>
      <w:r w:rsidRPr="00057CAF">
        <w:rPr>
          <w:rFonts w:eastAsiaTheme="minorHAnsi" w:cstheme="minorBidi"/>
          <w:b/>
          <w:szCs w:val="22"/>
          <w:lang w:val="fr-FR"/>
        </w:rPr>
        <w:t>Essai de quantification des flux</w:t>
      </w:r>
    </w:p>
    <w:p w:rsidR="00146DB7" w:rsidRPr="00057CAF" w:rsidRDefault="00146DB7" w:rsidP="00146DB7">
      <w:pPr>
        <w:spacing w:after="160" w:line="259" w:lineRule="auto"/>
        <w:rPr>
          <w:rFonts w:eastAsiaTheme="minorHAnsi" w:cstheme="minorBidi"/>
          <w:szCs w:val="22"/>
          <w:lang w:val="fr-FR"/>
        </w:rPr>
      </w:pPr>
      <w:r w:rsidRPr="00057CAF">
        <w:rPr>
          <w:rFonts w:eastAsiaTheme="minorHAnsi" w:cstheme="minorBidi"/>
          <w:szCs w:val="22"/>
          <w:lang w:val="fr-FR"/>
        </w:rPr>
        <w:t>Pour quantifier les flux, nous recourons aux données disponibles et veillons aux égalités suivantes (</w:t>
      </w:r>
      <w:r w:rsidRPr="00146DB7">
        <w:rPr>
          <w:rFonts w:ascii="Symbol" w:eastAsiaTheme="minorHAnsi" w:hAnsi="Symbol" w:cstheme="minorBidi"/>
          <w:szCs w:val="22"/>
        </w:rPr>
        <w:t></w:t>
      </w:r>
      <w:r w:rsidRPr="00146DB7">
        <w:rPr>
          <w:rFonts w:ascii="Symbol" w:eastAsiaTheme="minorHAnsi" w:hAnsi="Symbol" w:cstheme="minorBidi"/>
          <w:szCs w:val="22"/>
        </w:rPr>
        <w:t></w:t>
      </w:r>
      <w:r w:rsidRPr="00057CAF">
        <w:rPr>
          <w:rFonts w:eastAsiaTheme="minorHAnsi" w:cstheme="minorHAnsi"/>
          <w:szCs w:val="22"/>
          <w:lang w:val="fr-FR"/>
        </w:rPr>
        <w:t xml:space="preserve">représentant la variation de stock dans le sol et </w:t>
      </w:r>
      <w:r w:rsidRPr="00146DB7">
        <w:rPr>
          <w:rFonts w:ascii="Symbol" w:eastAsiaTheme="minorHAnsi" w:hAnsi="Symbol" w:cstheme="minorBidi"/>
          <w:szCs w:val="22"/>
        </w:rPr>
        <w:t></w:t>
      </w:r>
      <w:r w:rsidRPr="00057CAF">
        <w:rPr>
          <w:rFonts w:eastAsiaTheme="minorHAnsi" w:cstheme="minorHAnsi"/>
          <w:szCs w:val="22"/>
          <w:lang w:val="fr-FR"/>
        </w:rPr>
        <w:t>’ la variation de stock dans le cheptel)</w:t>
      </w:r>
      <w:r w:rsidRPr="00057CAF">
        <w:rPr>
          <w:rFonts w:eastAsiaTheme="minorHAnsi" w:cstheme="minorBidi"/>
          <w:szCs w:val="22"/>
          <w:lang w:val="fr-FR"/>
        </w:rPr>
        <w:t> :</w:t>
      </w:r>
    </w:p>
    <w:p w:rsidR="00146DB7" w:rsidRPr="00760FFA" w:rsidRDefault="004D17D9" w:rsidP="00FE454A">
      <w:pPr>
        <w:pStyle w:val="bullets"/>
      </w:pPr>
      <w:r w:rsidRPr="00760FFA">
        <w:t>FE1+FE2+FE3+FE4+FE5=FS1+FS2+FS3+FS4 +</w:t>
      </w:r>
      <w:r w:rsidR="00146DB7" w:rsidRPr="00146DB7">
        <w:rPr>
          <w:rFonts w:ascii="Symbol" w:hAnsi="Symbol"/>
        </w:rPr>
        <w:t></w:t>
      </w:r>
      <w:r w:rsidR="00146DB7" w:rsidRPr="00146DB7">
        <w:rPr>
          <w:rFonts w:ascii="Symbol" w:hAnsi="Symbol"/>
        </w:rPr>
        <w:t></w:t>
      </w:r>
      <w:r w:rsidR="00146DB7" w:rsidRPr="00146DB7">
        <w:rPr>
          <w:rFonts w:ascii="Symbol" w:hAnsi="Symbol"/>
        </w:rPr>
        <w:t></w:t>
      </w:r>
    </w:p>
    <w:p w:rsidR="00146DB7" w:rsidRPr="00146DB7" w:rsidRDefault="00146DB7" w:rsidP="00FE454A">
      <w:pPr>
        <w:pStyle w:val="bullets"/>
      </w:pPr>
      <w:r w:rsidRPr="00146DB7">
        <w:t>FE1+FE2+FE3+FE4+FI12=FS1+FI1+FI3 +</w:t>
      </w:r>
      <w:r w:rsidRPr="00146DB7">
        <w:rPr>
          <w:rFonts w:ascii="Symbol" w:hAnsi="Symbol"/>
        </w:rPr>
        <w:t></w:t>
      </w:r>
      <w:r w:rsidRPr="00146DB7">
        <w:rPr>
          <w:rFonts w:ascii="Symbol" w:hAnsi="Symbol"/>
        </w:rPr>
        <w:t></w:t>
      </w:r>
      <w:r w:rsidRPr="00146DB7">
        <w:rPr>
          <w:rFonts w:ascii="Symbol" w:hAnsi="Symbol"/>
        </w:rPr>
        <w:t></w:t>
      </w:r>
    </w:p>
    <w:p w:rsidR="00146DB7" w:rsidRPr="00146DB7" w:rsidRDefault="00146DB7" w:rsidP="00FE454A">
      <w:pPr>
        <w:pStyle w:val="bullets"/>
      </w:pPr>
      <w:r w:rsidRPr="00146DB7">
        <w:lastRenderedPageBreak/>
        <w:t>FI1=FS2+FI4</w:t>
      </w:r>
    </w:p>
    <w:p w:rsidR="00146DB7" w:rsidRPr="00146DB7" w:rsidRDefault="00146DB7" w:rsidP="00FE454A">
      <w:pPr>
        <w:pStyle w:val="bullets"/>
      </w:pPr>
      <w:r w:rsidRPr="00146DB7">
        <w:t>FI4+FI3+FI5=FI2+FS3</w:t>
      </w:r>
    </w:p>
    <w:p w:rsidR="00146DB7" w:rsidRPr="00FE454A" w:rsidRDefault="00146DB7" w:rsidP="00FE454A">
      <w:pPr>
        <w:pStyle w:val="bullets"/>
      </w:pPr>
      <w:r w:rsidRPr="00146DB7">
        <w:t xml:space="preserve">FE5+FI3=FI5+FS4 + </w:t>
      </w:r>
      <w:r w:rsidRPr="00146DB7">
        <w:rPr>
          <w:rFonts w:ascii="Symbol" w:hAnsi="Symbol"/>
        </w:rPr>
        <w:t></w:t>
      </w:r>
      <w:r w:rsidRPr="00146DB7">
        <w:rPr>
          <w:rFonts w:cstheme="minorHAnsi"/>
        </w:rPr>
        <w:t>’</w:t>
      </w:r>
    </w:p>
    <w:tbl>
      <w:tblPr>
        <w:tblStyle w:val="Grilledutableau2"/>
        <w:tblW w:w="0" w:type="auto"/>
        <w:tblLook w:val="04A0" w:firstRow="1" w:lastRow="0" w:firstColumn="1" w:lastColumn="0" w:noHBand="0" w:noVBand="1"/>
      </w:tblPr>
      <w:tblGrid>
        <w:gridCol w:w="704"/>
        <w:gridCol w:w="7229"/>
        <w:gridCol w:w="1129"/>
      </w:tblGrid>
      <w:tr w:rsidR="00146DB7" w:rsidRPr="00FE454A" w:rsidTr="00FE454A">
        <w:tc>
          <w:tcPr>
            <w:tcW w:w="704" w:type="dxa"/>
            <w:shd w:val="clear" w:color="auto" w:fill="A50021"/>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 xml:space="preserve">Flux </w:t>
            </w:r>
          </w:p>
        </w:tc>
        <w:tc>
          <w:tcPr>
            <w:tcW w:w="7229" w:type="dxa"/>
            <w:shd w:val="clear" w:color="auto" w:fill="A50021"/>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Estimation</w:t>
            </w:r>
          </w:p>
        </w:tc>
        <w:tc>
          <w:tcPr>
            <w:tcW w:w="1129" w:type="dxa"/>
            <w:shd w:val="clear" w:color="auto" w:fill="A50021"/>
          </w:tcPr>
          <w:p w:rsidR="00146DB7" w:rsidRPr="00FE454A" w:rsidRDefault="00146DB7" w:rsidP="00146DB7">
            <w:pPr>
              <w:jc w:val="center"/>
              <w:rPr>
                <w:rFonts w:eastAsiaTheme="minorHAnsi" w:cstheme="minorBidi"/>
                <w:sz w:val="22"/>
                <w:szCs w:val="22"/>
              </w:rPr>
            </w:pPr>
            <w:proofErr w:type="spellStart"/>
            <w:r w:rsidRPr="00FE454A">
              <w:rPr>
                <w:rFonts w:eastAsiaTheme="minorHAnsi" w:cstheme="minorBidi"/>
                <w:sz w:val="22"/>
                <w:szCs w:val="22"/>
              </w:rPr>
              <w:t>Valeur</w:t>
            </w:r>
            <w:proofErr w:type="spellEnd"/>
            <w:r w:rsidRPr="00FE454A">
              <w:rPr>
                <w:rFonts w:eastAsiaTheme="minorHAnsi" w:cstheme="minorBidi"/>
                <w:sz w:val="22"/>
                <w:szCs w:val="22"/>
              </w:rPr>
              <w:t xml:space="preserve"> </w:t>
            </w:r>
            <w:proofErr w:type="spellStart"/>
            <w:r w:rsidRPr="00FE454A">
              <w:rPr>
                <w:rFonts w:eastAsiaTheme="minorHAnsi" w:cstheme="minorBidi"/>
                <w:sz w:val="22"/>
                <w:szCs w:val="22"/>
              </w:rPr>
              <w:t>retenue</w:t>
            </w:r>
            <w:proofErr w:type="spellEnd"/>
          </w:p>
          <w:p w:rsidR="00146DB7" w:rsidRPr="00FE454A" w:rsidRDefault="00146DB7" w:rsidP="00146DB7">
            <w:pPr>
              <w:jc w:val="center"/>
              <w:rPr>
                <w:rFonts w:eastAsiaTheme="minorHAnsi" w:cstheme="minorBidi"/>
                <w:sz w:val="22"/>
                <w:szCs w:val="22"/>
              </w:rPr>
            </w:pPr>
            <w:proofErr w:type="spellStart"/>
            <w:r w:rsidRPr="00FE454A">
              <w:rPr>
                <w:rFonts w:eastAsiaTheme="minorHAnsi" w:cstheme="minorBidi"/>
                <w:sz w:val="22"/>
                <w:szCs w:val="22"/>
              </w:rPr>
              <w:t>kT</w:t>
            </w:r>
            <w:proofErr w:type="spellEnd"/>
            <w:r w:rsidRPr="00FE454A">
              <w:rPr>
                <w:rFonts w:eastAsiaTheme="minorHAnsi" w:cstheme="minorBidi"/>
                <w:sz w:val="22"/>
                <w:szCs w:val="22"/>
              </w:rPr>
              <w:t xml:space="preserve"> N/an</w:t>
            </w:r>
          </w:p>
        </w:tc>
      </w:tr>
      <w:tr w:rsidR="00146DB7" w:rsidRPr="00FE454A" w:rsidTr="009716CF">
        <w:tc>
          <w:tcPr>
            <w:tcW w:w="704" w:type="dxa"/>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t>FE1</w:t>
            </w:r>
          </w:p>
        </w:tc>
        <w:tc>
          <w:tcPr>
            <w:tcW w:w="7229" w:type="dxa"/>
          </w:tcPr>
          <w:p w:rsidR="00146DB7" w:rsidRPr="00057CAF" w:rsidRDefault="00146DB7" w:rsidP="00146DB7">
            <w:pPr>
              <w:rPr>
                <w:rFonts w:eastAsiaTheme="minorHAnsi" w:cstheme="minorBidi"/>
                <w:sz w:val="22"/>
                <w:szCs w:val="22"/>
                <w:lang w:val="fr-FR"/>
              </w:rPr>
            </w:pPr>
            <w:r w:rsidRPr="00057CAF">
              <w:rPr>
                <w:rFonts w:eastAsiaTheme="minorHAnsi" w:cstheme="minorBidi"/>
                <w:sz w:val="22"/>
                <w:szCs w:val="22"/>
                <w:lang w:val="fr-FR"/>
              </w:rPr>
              <w:t xml:space="preserve">Le rapport ICEW (2014) se référant à </w:t>
            </w:r>
            <w:proofErr w:type="spellStart"/>
            <w:r w:rsidRPr="00057CAF">
              <w:rPr>
                <w:rFonts w:eastAsiaTheme="minorHAnsi" w:cstheme="minorBidi"/>
                <w:sz w:val="22"/>
                <w:szCs w:val="22"/>
                <w:lang w:val="fr-FR"/>
              </w:rPr>
              <w:t>ULg</w:t>
            </w:r>
            <w:proofErr w:type="spellEnd"/>
            <w:r w:rsidRPr="00057CAF">
              <w:rPr>
                <w:rFonts w:eastAsiaTheme="minorHAnsi" w:cstheme="minorBidi"/>
                <w:sz w:val="22"/>
                <w:szCs w:val="22"/>
                <w:lang w:val="fr-FR"/>
              </w:rPr>
              <w:t xml:space="preserve"> </w:t>
            </w:r>
            <w:proofErr w:type="spellStart"/>
            <w:r w:rsidRPr="00057CAF">
              <w:rPr>
                <w:rFonts w:eastAsiaTheme="minorHAnsi" w:cstheme="minorBidi"/>
                <w:sz w:val="22"/>
                <w:szCs w:val="22"/>
                <w:lang w:val="fr-FR"/>
              </w:rPr>
              <w:t>GxABT</w:t>
            </w:r>
            <w:proofErr w:type="spellEnd"/>
            <w:r w:rsidRPr="00057CAF">
              <w:rPr>
                <w:rFonts w:eastAsiaTheme="minorHAnsi" w:cstheme="minorBidi"/>
                <w:sz w:val="22"/>
                <w:szCs w:val="22"/>
                <w:lang w:val="fr-FR"/>
              </w:rPr>
              <w:t xml:space="preserve"> - Unité Systèmes </w:t>
            </w:r>
            <w:proofErr w:type="spellStart"/>
            <w:r w:rsidRPr="00057CAF">
              <w:rPr>
                <w:rFonts w:eastAsiaTheme="minorHAnsi" w:cstheme="minorBidi"/>
                <w:sz w:val="22"/>
                <w:szCs w:val="22"/>
                <w:lang w:val="fr-FR"/>
              </w:rPr>
              <w:t>Sol-eau</w:t>
            </w:r>
            <w:proofErr w:type="spellEnd"/>
            <w:r w:rsidRPr="00057CAF">
              <w:rPr>
                <w:rFonts w:eastAsiaTheme="minorHAnsi" w:cstheme="minorBidi"/>
                <w:sz w:val="22"/>
                <w:szCs w:val="22"/>
                <w:lang w:val="fr-FR"/>
              </w:rPr>
              <w:t xml:space="preserve"> (modèle </w:t>
            </w:r>
            <w:proofErr w:type="spellStart"/>
            <w:r w:rsidRPr="00057CAF">
              <w:rPr>
                <w:rFonts w:eastAsiaTheme="minorHAnsi" w:cstheme="minorBidi"/>
                <w:sz w:val="22"/>
                <w:szCs w:val="22"/>
                <w:lang w:val="fr-FR"/>
              </w:rPr>
              <w:t>EPICgrid</w:t>
            </w:r>
            <w:proofErr w:type="spellEnd"/>
            <w:r w:rsidRPr="00057CAF">
              <w:rPr>
                <w:rFonts w:eastAsiaTheme="minorHAnsi" w:cstheme="minorBidi"/>
                <w:sz w:val="22"/>
                <w:szCs w:val="22"/>
                <w:lang w:val="fr-FR"/>
              </w:rPr>
              <w:t xml:space="preserve">) indique des apports atmosphériques de 21,2 kT/an en 2011-2013. </w:t>
            </w:r>
          </w:p>
        </w:tc>
        <w:tc>
          <w:tcPr>
            <w:tcW w:w="1129" w:type="dxa"/>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21</w:t>
            </w:r>
          </w:p>
        </w:tc>
      </w:tr>
      <w:tr w:rsidR="00146DB7" w:rsidRPr="00FE454A" w:rsidTr="009716CF">
        <w:tc>
          <w:tcPr>
            <w:tcW w:w="704" w:type="dxa"/>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t>FE2</w:t>
            </w:r>
          </w:p>
        </w:tc>
        <w:tc>
          <w:tcPr>
            <w:tcW w:w="7229" w:type="dxa"/>
          </w:tcPr>
          <w:p w:rsidR="00146DB7" w:rsidRPr="00057CAF" w:rsidRDefault="00146DB7" w:rsidP="00146DB7">
            <w:pPr>
              <w:rPr>
                <w:rFonts w:eastAsiaTheme="minorHAnsi" w:cstheme="minorBidi"/>
                <w:sz w:val="22"/>
                <w:szCs w:val="22"/>
                <w:lang w:val="fr-FR"/>
              </w:rPr>
            </w:pPr>
            <w:r w:rsidRPr="00057CAF">
              <w:rPr>
                <w:rFonts w:eastAsiaTheme="minorHAnsi" w:cstheme="minorBidi"/>
                <w:sz w:val="22"/>
                <w:szCs w:val="22"/>
                <w:lang w:val="fr-FR"/>
              </w:rPr>
              <w:t xml:space="preserve">Le rapport ICEW (2014) se référant à </w:t>
            </w:r>
            <w:proofErr w:type="spellStart"/>
            <w:r w:rsidRPr="00057CAF">
              <w:rPr>
                <w:rFonts w:eastAsiaTheme="minorHAnsi" w:cstheme="minorBidi"/>
                <w:sz w:val="22"/>
                <w:szCs w:val="22"/>
                <w:lang w:val="fr-FR"/>
              </w:rPr>
              <w:t>ULg</w:t>
            </w:r>
            <w:proofErr w:type="spellEnd"/>
            <w:r w:rsidRPr="00057CAF">
              <w:rPr>
                <w:rFonts w:eastAsiaTheme="minorHAnsi" w:cstheme="minorBidi"/>
                <w:sz w:val="22"/>
                <w:szCs w:val="22"/>
                <w:lang w:val="fr-FR"/>
              </w:rPr>
              <w:t xml:space="preserve"> </w:t>
            </w:r>
            <w:proofErr w:type="spellStart"/>
            <w:r w:rsidRPr="00057CAF">
              <w:rPr>
                <w:rFonts w:eastAsiaTheme="minorHAnsi" w:cstheme="minorBidi"/>
                <w:sz w:val="22"/>
                <w:szCs w:val="22"/>
                <w:lang w:val="fr-FR"/>
              </w:rPr>
              <w:t>GxABT</w:t>
            </w:r>
            <w:proofErr w:type="spellEnd"/>
            <w:r w:rsidRPr="00057CAF">
              <w:rPr>
                <w:rFonts w:eastAsiaTheme="minorHAnsi" w:cstheme="minorBidi"/>
                <w:sz w:val="22"/>
                <w:szCs w:val="22"/>
                <w:lang w:val="fr-FR"/>
              </w:rPr>
              <w:t xml:space="preserve"> - Unité Systèmes </w:t>
            </w:r>
            <w:proofErr w:type="spellStart"/>
            <w:r w:rsidRPr="00057CAF">
              <w:rPr>
                <w:rFonts w:eastAsiaTheme="minorHAnsi" w:cstheme="minorBidi"/>
                <w:sz w:val="22"/>
                <w:szCs w:val="22"/>
                <w:lang w:val="fr-FR"/>
              </w:rPr>
              <w:t>Sol-eau</w:t>
            </w:r>
            <w:proofErr w:type="spellEnd"/>
            <w:r w:rsidRPr="00057CAF">
              <w:rPr>
                <w:rFonts w:eastAsiaTheme="minorHAnsi" w:cstheme="minorBidi"/>
                <w:sz w:val="22"/>
                <w:szCs w:val="22"/>
                <w:lang w:val="fr-FR"/>
              </w:rPr>
              <w:t xml:space="preserve"> (modèle </w:t>
            </w:r>
            <w:proofErr w:type="spellStart"/>
            <w:r w:rsidRPr="00057CAF">
              <w:rPr>
                <w:rFonts w:eastAsiaTheme="minorHAnsi" w:cstheme="minorBidi"/>
                <w:sz w:val="22"/>
                <w:szCs w:val="22"/>
                <w:lang w:val="fr-FR"/>
              </w:rPr>
              <w:t>EPICgrid</w:t>
            </w:r>
            <w:proofErr w:type="spellEnd"/>
            <w:r w:rsidRPr="00057CAF">
              <w:rPr>
                <w:rFonts w:eastAsiaTheme="minorHAnsi" w:cstheme="minorBidi"/>
                <w:sz w:val="22"/>
                <w:szCs w:val="22"/>
                <w:lang w:val="fr-FR"/>
              </w:rPr>
              <w:t xml:space="preserve">) indique 20,4 kT de fixation symbiotique. </w:t>
            </w:r>
          </w:p>
        </w:tc>
        <w:tc>
          <w:tcPr>
            <w:tcW w:w="1129" w:type="dxa"/>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20</w:t>
            </w:r>
          </w:p>
        </w:tc>
      </w:tr>
      <w:tr w:rsidR="00146DB7" w:rsidRPr="00FE454A" w:rsidTr="009716CF">
        <w:tc>
          <w:tcPr>
            <w:tcW w:w="704" w:type="dxa"/>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t>FE3</w:t>
            </w:r>
          </w:p>
        </w:tc>
        <w:tc>
          <w:tcPr>
            <w:tcW w:w="7229" w:type="dxa"/>
          </w:tcPr>
          <w:p w:rsidR="00146DB7" w:rsidRPr="00057CAF" w:rsidRDefault="00146DB7" w:rsidP="00146DB7">
            <w:pPr>
              <w:rPr>
                <w:rFonts w:eastAsiaTheme="minorHAnsi" w:cstheme="minorBidi"/>
                <w:sz w:val="22"/>
                <w:szCs w:val="22"/>
                <w:lang w:val="fr-FR"/>
              </w:rPr>
            </w:pPr>
            <w:r w:rsidRPr="00057CAF">
              <w:rPr>
                <w:rFonts w:eastAsiaTheme="minorHAnsi" w:cstheme="minorBidi"/>
                <w:sz w:val="22"/>
                <w:szCs w:val="22"/>
                <w:lang w:val="fr-FR"/>
              </w:rPr>
              <w:t>La fertilisation minérale est estimée à 101,2 kg/ha de SAU en 2010-2012 (ICEW, 2014) et 103,6 en 2014 (EEW, 2017). La valeur de 2014 correspond à 74,1 kT pour la SAU totale, bien que la même source indique également une centaine de kT N au niveau de la SAU totale.</w:t>
            </w:r>
          </w:p>
        </w:tc>
        <w:tc>
          <w:tcPr>
            <w:tcW w:w="1129" w:type="dxa"/>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74</w:t>
            </w:r>
          </w:p>
        </w:tc>
      </w:tr>
      <w:tr w:rsidR="00146DB7" w:rsidRPr="00FE454A" w:rsidTr="009716CF">
        <w:tc>
          <w:tcPr>
            <w:tcW w:w="704" w:type="dxa"/>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t>FE4</w:t>
            </w:r>
          </w:p>
        </w:tc>
        <w:tc>
          <w:tcPr>
            <w:tcW w:w="7229" w:type="dxa"/>
          </w:tcPr>
          <w:p w:rsidR="00146DB7" w:rsidRPr="00057CAF" w:rsidRDefault="00146DB7" w:rsidP="00146DB7">
            <w:pPr>
              <w:rPr>
                <w:rFonts w:eastAsiaTheme="minorHAnsi" w:cstheme="minorBidi"/>
                <w:sz w:val="22"/>
                <w:szCs w:val="22"/>
                <w:lang w:val="fr-FR"/>
              </w:rPr>
            </w:pPr>
            <w:r w:rsidRPr="00057CAF">
              <w:rPr>
                <w:rFonts w:eastAsiaTheme="minorHAnsi" w:cstheme="minorBidi"/>
                <w:sz w:val="22"/>
                <w:szCs w:val="22"/>
                <w:lang w:val="fr-FR"/>
              </w:rPr>
              <w:t>17000 T MS de boues de stations d’épuration étaient valorisées en agriculture en 2011 (ICEW, 2012) et 43 000 T en 2012 selon le SPW</w:t>
            </w:r>
            <w:r w:rsidRPr="00FE454A">
              <w:rPr>
                <w:rFonts w:eastAsiaTheme="minorHAnsi" w:cstheme="minorBidi"/>
                <w:sz w:val="22"/>
                <w:szCs w:val="22"/>
                <w:vertAlign w:val="superscript"/>
              </w:rPr>
              <w:footnoteReference w:id="3"/>
            </w:r>
            <w:r w:rsidRPr="00057CAF">
              <w:rPr>
                <w:rFonts w:eastAsiaTheme="minorHAnsi" w:cstheme="minorBidi"/>
                <w:sz w:val="22"/>
                <w:szCs w:val="22"/>
                <w:lang w:val="fr-FR"/>
              </w:rPr>
              <w:t>. A raison de 40 kg</w:t>
            </w:r>
            <w:r w:rsidR="00467012" w:rsidRPr="00057CAF">
              <w:rPr>
                <w:rFonts w:eastAsiaTheme="minorHAnsi" w:cstheme="minorBidi"/>
                <w:sz w:val="22"/>
                <w:szCs w:val="22"/>
                <w:lang w:val="fr-FR"/>
              </w:rPr>
              <w:t xml:space="preserve"> </w:t>
            </w:r>
            <w:r w:rsidRPr="00057CAF">
              <w:rPr>
                <w:rFonts w:eastAsiaTheme="minorHAnsi" w:cstheme="minorBidi"/>
                <w:sz w:val="22"/>
                <w:szCs w:val="22"/>
                <w:lang w:val="fr-FR"/>
              </w:rPr>
              <w:t>N/T (document ADEME</w:t>
            </w:r>
            <w:r w:rsidRPr="00FE454A">
              <w:rPr>
                <w:rFonts w:eastAsiaTheme="minorHAnsi" w:cstheme="minorBidi"/>
                <w:sz w:val="22"/>
                <w:szCs w:val="22"/>
                <w:vertAlign w:val="superscript"/>
              </w:rPr>
              <w:footnoteReference w:id="4"/>
            </w:r>
            <w:r w:rsidRPr="00057CAF">
              <w:rPr>
                <w:rFonts w:eastAsiaTheme="minorHAnsi" w:cstheme="minorBidi"/>
                <w:sz w:val="22"/>
                <w:szCs w:val="22"/>
                <w:lang w:val="fr-FR"/>
              </w:rPr>
              <w:t>), 40 000T représentent 1,6 kT N. De plus 246 500 T de déchets municipaux ont été compostés en 2010 (ICEW, 2012). Avec un rendement de 40% et une teneur de l’ordre de 5 kg N/T (indications approximatives par recoupement de sources diverses), l’apport est proche de 0,5 kT N. Le total serait donc proche de 2 kT (sans compter d’autres sources éventuelles)</w:t>
            </w:r>
          </w:p>
        </w:tc>
        <w:tc>
          <w:tcPr>
            <w:tcW w:w="1129" w:type="dxa"/>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2</w:t>
            </w:r>
          </w:p>
        </w:tc>
      </w:tr>
      <w:tr w:rsidR="00146DB7" w:rsidRPr="00FE454A" w:rsidTr="009716CF">
        <w:tc>
          <w:tcPr>
            <w:tcW w:w="704" w:type="dxa"/>
            <w:shd w:val="clear" w:color="auto" w:fill="auto"/>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t>FE5</w:t>
            </w:r>
          </w:p>
        </w:tc>
        <w:tc>
          <w:tcPr>
            <w:tcW w:w="7229" w:type="dxa"/>
            <w:shd w:val="clear" w:color="auto" w:fill="auto"/>
          </w:tcPr>
          <w:p w:rsidR="00146DB7" w:rsidRPr="00057CAF" w:rsidRDefault="00146DB7" w:rsidP="00146DB7">
            <w:pPr>
              <w:rPr>
                <w:rFonts w:eastAsiaTheme="minorHAnsi" w:cstheme="minorBidi"/>
                <w:sz w:val="22"/>
                <w:szCs w:val="22"/>
                <w:lang w:val="fr-FR"/>
              </w:rPr>
            </w:pPr>
            <w:proofErr w:type="spellStart"/>
            <w:r w:rsidRPr="00057CAF">
              <w:rPr>
                <w:rFonts w:eastAsiaTheme="minorHAnsi" w:cstheme="minorBidi"/>
                <w:sz w:val="22"/>
                <w:szCs w:val="22"/>
                <w:lang w:val="fr-FR"/>
              </w:rPr>
              <w:t>Riera</w:t>
            </w:r>
            <w:proofErr w:type="spellEnd"/>
            <w:r w:rsidRPr="00057CAF">
              <w:rPr>
                <w:rFonts w:eastAsiaTheme="minorHAnsi" w:cstheme="minorBidi"/>
                <w:sz w:val="22"/>
                <w:szCs w:val="22"/>
                <w:lang w:val="fr-FR"/>
              </w:rPr>
              <w:t xml:space="preserve"> et al. (2019) ont estimé les quantités d’aliments (concentrés) consommés en Belgique par catégorie d’animaux. Sur la base d’une teneur en azote de 2% pour les céréales et de 3,5% pour la moyenne des aliments riches en protéines et compte tenu de la proportion wallonne des cheptels belges (6% des porcins, 15% de la volaille, 38% des vaches laitières, 61% des bovins viandeux), l’estimation totale que nous en déduisons est de 36,7 kT N (</w:t>
            </w:r>
            <w:proofErr w:type="gramStart"/>
            <w:r w:rsidRPr="00057CAF">
              <w:rPr>
                <w:rFonts w:eastAsiaTheme="minorHAnsi" w:cstheme="minorBidi"/>
                <w:sz w:val="22"/>
                <w:szCs w:val="22"/>
                <w:lang w:val="fr-FR"/>
              </w:rPr>
              <w:t>dont  7</w:t>
            </w:r>
            <w:proofErr w:type="gramEnd"/>
            <w:r w:rsidRPr="00057CAF">
              <w:rPr>
                <w:rFonts w:eastAsiaTheme="minorHAnsi" w:cstheme="minorBidi"/>
                <w:sz w:val="22"/>
                <w:szCs w:val="22"/>
                <w:lang w:val="fr-FR"/>
              </w:rPr>
              <w:t>,6 kT N de farine de soja).</w:t>
            </w:r>
          </w:p>
          <w:p w:rsidR="00146DB7" w:rsidRPr="00057CAF" w:rsidRDefault="00146DB7" w:rsidP="00146DB7">
            <w:pPr>
              <w:rPr>
                <w:rFonts w:eastAsiaTheme="minorHAnsi" w:cstheme="minorBidi"/>
                <w:sz w:val="22"/>
                <w:szCs w:val="22"/>
                <w:lang w:val="fr-FR"/>
              </w:rPr>
            </w:pPr>
            <w:r w:rsidRPr="00057CAF">
              <w:rPr>
                <w:rFonts w:eastAsiaTheme="minorHAnsi" w:cstheme="minorBidi"/>
                <w:sz w:val="22"/>
                <w:szCs w:val="22"/>
                <w:lang w:val="fr-FR"/>
              </w:rPr>
              <w:t>Tableau : évaluation de la consommation d’azote dans l’alimentation animale (hors fourrages) en Belgique et Wallonie (kT/an)</w:t>
            </w:r>
          </w:p>
          <w:tbl>
            <w:tblPr>
              <w:tblStyle w:val="Grilledutableau10"/>
              <w:tblW w:w="0" w:type="auto"/>
              <w:tblLook w:val="04A0" w:firstRow="1" w:lastRow="0" w:firstColumn="1" w:lastColumn="0" w:noHBand="0" w:noVBand="1"/>
            </w:tblPr>
            <w:tblGrid>
              <w:gridCol w:w="1297"/>
              <w:gridCol w:w="1265"/>
              <w:gridCol w:w="1578"/>
              <w:gridCol w:w="1417"/>
              <w:gridCol w:w="1134"/>
            </w:tblGrid>
            <w:tr w:rsidR="00146DB7" w:rsidRPr="00FE454A" w:rsidTr="009716CF">
              <w:tc>
                <w:tcPr>
                  <w:tcW w:w="1297" w:type="dxa"/>
                </w:tcPr>
                <w:p w:rsidR="00146DB7" w:rsidRPr="00FE454A" w:rsidRDefault="00146DB7" w:rsidP="00146DB7">
                  <w:pPr>
                    <w:rPr>
                      <w:sz w:val="22"/>
                      <w:szCs w:val="22"/>
                    </w:rPr>
                  </w:pPr>
                  <w:proofErr w:type="spellStart"/>
                  <w:r w:rsidRPr="00FE454A">
                    <w:rPr>
                      <w:sz w:val="22"/>
                      <w:szCs w:val="22"/>
                    </w:rPr>
                    <w:t>Catégorie</w:t>
                  </w:r>
                  <w:proofErr w:type="spellEnd"/>
                </w:p>
              </w:tc>
              <w:tc>
                <w:tcPr>
                  <w:tcW w:w="1265" w:type="dxa"/>
                </w:tcPr>
                <w:p w:rsidR="00146DB7" w:rsidRPr="00FE454A" w:rsidRDefault="00146DB7" w:rsidP="00146DB7">
                  <w:pPr>
                    <w:rPr>
                      <w:sz w:val="22"/>
                      <w:szCs w:val="22"/>
                    </w:rPr>
                  </w:pPr>
                  <w:r w:rsidRPr="00FE454A">
                    <w:rPr>
                      <w:sz w:val="22"/>
                      <w:szCs w:val="22"/>
                    </w:rPr>
                    <w:t xml:space="preserve">N </w:t>
                  </w:r>
                  <w:proofErr w:type="spellStart"/>
                  <w:r w:rsidRPr="00FE454A">
                    <w:rPr>
                      <w:sz w:val="22"/>
                      <w:szCs w:val="22"/>
                    </w:rPr>
                    <w:t>céréales</w:t>
                  </w:r>
                  <w:proofErr w:type="spellEnd"/>
                  <w:r w:rsidRPr="00FE454A">
                    <w:rPr>
                      <w:sz w:val="22"/>
                      <w:szCs w:val="22"/>
                    </w:rPr>
                    <w:t xml:space="preserve"> (</w:t>
                  </w:r>
                  <w:proofErr w:type="spellStart"/>
                  <w:r w:rsidRPr="00FE454A">
                    <w:rPr>
                      <w:sz w:val="22"/>
                      <w:szCs w:val="22"/>
                    </w:rPr>
                    <w:t>Belgique</w:t>
                  </w:r>
                  <w:proofErr w:type="spellEnd"/>
                  <w:r w:rsidRPr="00FE454A">
                    <w:rPr>
                      <w:sz w:val="22"/>
                      <w:szCs w:val="22"/>
                    </w:rPr>
                    <w:t>)</w:t>
                  </w:r>
                </w:p>
              </w:tc>
              <w:tc>
                <w:tcPr>
                  <w:tcW w:w="1578" w:type="dxa"/>
                </w:tcPr>
                <w:p w:rsidR="00146DB7" w:rsidRPr="00057CAF" w:rsidRDefault="00146DB7" w:rsidP="00146DB7">
                  <w:pPr>
                    <w:rPr>
                      <w:sz w:val="22"/>
                      <w:szCs w:val="22"/>
                      <w:lang w:val="fr-FR"/>
                    </w:rPr>
                  </w:pPr>
                  <w:r w:rsidRPr="00057CAF">
                    <w:rPr>
                      <w:sz w:val="22"/>
                      <w:szCs w:val="22"/>
                      <w:lang w:val="fr-FR"/>
                    </w:rPr>
                    <w:t>N aliments riches en protéines (Belgique)</w:t>
                  </w:r>
                </w:p>
              </w:tc>
              <w:tc>
                <w:tcPr>
                  <w:tcW w:w="1417" w:type="dxa"/>
                </w:tcPr>
                <w:p w:rsidR="00146DB7" w:rsidRPr="00FE454A" w:rsidRDefault="00146DB7" w:rsidP="00146DB7">
                  <w:pPr>
                    <w:rPr>
                      <w:sz w:val="22"/>
                      <w:szCs w:val="22"/>
                    </w:rPr>
                  </w:pPr>
                  <w:r w:rsidRPr="00FE454A">
                    <w:rPr>
                      <w:sz w:val="22"/>
                      <w:szCs w:val="22"/>
                    </w:rPr>
                    <w:t xml:space="preserve">Total N </w:t>
                  </w:r>
                  <w:proofErr w:type="spellStart"/>
                  <w:r w:rsidRPr="00FE454A">
                    <w:rPr>
                      <w:sz w:val="22"/>
                      <w:szCs w:val="22"/>
                    </w:rPr>
                    <w:t>Belgique</w:t>
                  </w:r>
                  <w:proofErr w:type="spellEnd"/>
                </w:p>
              </w:tc>
              <w:tc>
                <w:tcPr>
                  <w:tcW w:w="1134" w:type="dxa"/>
                </w:tcPr>
                <w:p w:rsidR="00146DB7" w:rsidRPr="00FE454A" w:rsidRDefault="00146DB7" w:rsidP="00146DB7">
                  <w:pPr>
                    <w:rPr>
                      <w:sz w:val="22"/>
                      <w:szCs w:val="22"/>
                    </w:rPr>
                  </w:pPr>
                  <w:r w:rsidRPr="00FE454A">
                    <w:rPr>
                      <w:sz w:val="22"/>
                      <w:szCs w:val="22"/>
                    </w:rPr>
                    <w:t>N Wallonie</w:t>
                  </w:r>
                </w:p>
              </w:tc>
            </w:tr>
            <w:tr w:rsidR="00146DB7" w:rsidRPr="00FE454A" w:rsidTr="009716CF">
              <w:tc>
                <w:tcPr>
                  <w:tcW w:w="1297" w:type="dxa"/>
                </w:tcPr>
                <w:p w:rsidR="00146DB7" w:rsidRPr="00FE454A" w:rsidRDefault="00146DB7" w:rsidP="00146DB7">
                  <w:pPr>
                    <w:rPr>
                      <w:sz w:val="22"/>
                      <w:szCs w:val="22"/>
                    </w:rPr>
                  </w:pPr>
                  <w:proofErr w:type="spellStart"/>
                  <w:r w:rsidRPr="00FE454A">
                    <w:rPr>
                      <w:sz w:val="22"/>
                      <w:szCs w:val="22"/>
                    </w:rPr>
                    <w:t>Porcs</w:t>
                  </w:r>
                  <w:proofErr w:type="spellEnd"/>
                </w:p>
              </w:tc>
              <w:tc>
                <w:tcPr>
                  <w:tcW w:w="1265" w:type="dxa"/>
                </w:tcPr>
                <w:p w:rsidR="00146DB7" w:rsidRPr="00FE454A" w:rsidRDefault="00146DB7" w:rsidP="00146DB7">
                  <w:pPr>
                    <w:jc w:val="center"/>
                    <w:rPr>
                      <w:sz w:val="22"/>
                      <w:szCs w:val="22"/>
                    </w:rPr>
                  </w:pPr>
                  <w:r w:rsidRPr="00FE454A">
                    <w:rPr>
                      <w:sz w:val="22"/>
                      <w:szCs w:val="22"/>
                    </w:rPr>
                    <w:t>53,4</w:t>
                  </w:r>
                </w:p>
              </w:tc>
              <w:tc>
                <w:tcPr>
                  <w:tcW w:w="1578" w:type="dxa"/>
                </w:tcPr>
                <w:p w:rsidR="00146DB7" w:rsidRPr="00FE454A" w:rsidRDefault="00146DB7" w:rsidP="00146DB7">
                  <w:pPr>
                    <w:jc w:val="center"/>
                    <w:rPr>
                      <w:sz w:val="22"/>
                      <w:szCs w:val="22"/>
                    </w:rPr>
                  </w:pPr>
                  <w:r w:rsidRPr="00FE454A">
                    <w:rPr>
                      <w:sz w:val="22"/>
                      <w:szCs w:val="22"/>
                    </w:rPr>
                    <w:t>36,1</w:t>
                  </w:r>
                </w:p>
              </w:tc>
              <w:tc>
                <w:tcPr>
                  <w:tcW w:w="1417" w:type="dxa"/>
                </w:tcPr>
                <w:p w:rsidR="00146DB7" w:rsidRPr="00FE454A" w:rsidRDefault="00146DB7" w:rsidP="00146DB7">
                  <w:pPr>
                    <w:jc w:val="center"/>
                    <w:rPr>
                      <w:sz w:val="22"/>
                      <w:szCs w:val="22"/>
                    </w:rPr>
                  </w:pPr>
                  <w:r w:rsidRPr="00FE454A">
                    <w:rPr>
                      <w:sz w:val="22"/>
                      <w:szCs w:val="22"/>
                    </w:rPr>
                    <w:t>89,5</w:t>
                  </w:r>
                </w:p>
              </w:tc>
              <w:tc>
                <w:tcPr>
                  <w:tcW w:w="1134" w:type="dxa"/>
                </w:tcPr>
                <w:p w:rsidR="00146DB7" w:rsidRPr="00FE454A" w:rsidRDefault="00146DB7" w:rsidP="00146DB7">
                  <w:pPr>
                    <w:jc w:val="center"/>
                    <w:rPr>
                      <w:sz w:val="22"/>
                      <w:szCs w:val="22"/>
                    </w:rPr>
                  </w:pPr>
                  <w:r w:rsidRPr="00FE454A">
                    <w:rPr>
                      <w:sz w:val="22"/>
                      <w:szCs w:val="22"/>
                    </w:rPr>
                    <w:t>5,4</w:t>
                  </w:r>
                </w:p>
              </w:tc>
            </w:tr>
            <w:tr w:rsidR="00146DB7" w:rsidRPr="00FE454A" w:rsidTr="009716CF">
              <w:tc>
                <w:tcPr>
                  <w:tcW w:w="1297" w:type="dxa"/>
                </w:tcPr>
                <w:p w:rsidR="00146DB7" w:rsidRPr="00FE454A" w:rsidRDefault="00146DB7" w:rsidP="00146DB7">
                  <w:pPr>
                    <w:rPr>
                      <w:sz w:val="22"/>
                      <w:szCs w:val="22"/>
                    </w:rPr>
                  </w:pPr>
                  <w:proofErr w:type="spellStart"/>
                  <w:r w:rsidRPr="00FE454A">
                    <w:rPr>
                      <w:sz w:val="22"/>
                      <w:szCs w:val="22"/>
                    </w:rPr>
                    <w:t>Volaille</w:t>
                  </w:r>
                  <w:proofErr w:type="spellEnd"/>
                </w:p>
              </w:tc>
              <w:tc>
                <w:tcPr>
                  <w:tcW w:w="1265" w:type="dxa"/>
                </w:tcPr>
                <w:p w:rsidR="00146DB7" w:rsidRPr="00FE454A" w:rsidRDefault="00146DB7" w:rsidP="00146DB7">
                  <w:pPr>
                    <w:jc w:val="center"/>
                    <w:rPr>
                      <w:sz w:val="22"/>
                      <w:szCs w:val="22"/>
                    </w:rPr>
                  </w:pPr>
                  <w:r w:rsidRPr="00FE454A">
                    <w:rPr>
                      <w:sz w:val="22"/>
                      <w:szCs w:val="22"/>
                    </w:rPr>
                    <w:t>15,2</w:t>
                  </w:r>
                </w:p>
              </w:tc>
              <w:tc>
                <w:tcPr>
                  <w:tcW w:w="1578" w:type="dxa"/>
                </w:tcPr>
                <w:p w:rsidR="00146DB7" w:rsidRPr="00FE454A" w:rsidRDefault="00146DB7" w:rsidP="00146DB7">
                  <w:pPr>
                    <w:jc w:val="center"/>
                    <w:rPr>
                      <w:sz w:val="22"/>
                      <w:szCs w:val="22"/>
                    </w:rPr>
                  </w:pPr>
                  <w:r w:rsidRPr="00FE454A">
                    <w:rPr>
                      <w:sz w:val="22"/>
                      <w:szCs w:val="22"/>
                    </w:rPr>
                    <w:t>9,7</w:t>
                  </w:r>
                </w:p>
              </w:tc>
              <w:tc>
                <w:tcPr>
                  <w:tcW w:w="1417" w:type="dxa"/>
                </w:tcPr>
                <w:p w:rsidR="00146DB7" w:rsidRPr="00FE454A" w:rsidRDefault="00146DB7" w:rsidP="00146DB7">
                  <w:pPr>
                    <w:jc w:val="center"/>
                    <w:rPr>
                      <w:sz w:val="22"/>
                      <w:szCs w:val="22"/>
                    </w:rPr>
                  </w:pPr>
                  <w:r w:rsidRPr="00FE454A">
                    <w:rPr>
                      <w:sz w:val="22"/>
                      <w:szCs w:val="22"/>
                    </w:rPr>
                    <w:t>24,9</w:t>
                  </w:r>
                </w:p>
              </w:tc>
              <w:tc>
                <w:tcPr>
                  <w:tcW w:w="1134" w:type="dxa"/>
                </w:tcPr>
                <w:p w:rsidR="00146DB7" w:rsidRPr="00FE454A" w:rsidRDefault="00146DB7" w:rsidP="00146DB7">
                  <w:pPr>
                    <w:jc w:val="center"/>
                    <w:rPr>
                      <w:sz w:val="22"/>
                      <w:szCs w:val="22"/>
                    </w:rPr>
                  </w:pPr>
                  <w:r w:rsidRPr="00FE454A">
                    <w:rPr>
                      <w:sz w:val="22"/>
                      <w:szCs w:val="22"/>
                    </w:rPr>
                    <w:t>3,7</w:t>
                  </w:r>
                </w:p>
              </w:tc>
            </w:tr>
            <w:tr w:rsidR="00146DB7" w:rsidRPr="00FE454A" w:rsidTr="009716CF">
              <w:tc>
                <w:tcPr>
                  <w:tcW w:w="1297" w:type="dxa"/>
                </w:tcPr>
                <w:p w:rsidR="00146DB7" w:rsidRPr="00FE454A" w:rsidRDefault="00146DB7" w:rsidP="00146DB7">
                  <w:pPr>
                    <w:rPr>
                      <w:sz w:val="22"/>
                      <w:szCs w:val="22"/>
                    </w:rPr>
                  </w:pPr>
                  <w:proofErr w:type="spellStart"/>
                  <w:r w:rsidRPr="00FE454A">
                    <w:rPr>
                      <w:sz w:val="22"/>
                      <w:szCs w:val="22"/>
                    </w:rPr>
                    <w:t>Bovins</w:t>
                  </w:r>
                  <w:proofErr w:type="spellEnd"/>
                  <w:r w:rsidRPr="00FE454A">
                    <w:rPr>
                      <w:sz w:val="22"/>
                      <w:szCs w:val="22"/>
                    </w:rPr>
                    <w:t xml:space="preserve"> lait</w:t>
                  </w:r>
                </w:p>
              </w:tc>
              <w:tc>
                <w:tcPr>
                  <w:tcW w:w="1265" w:type="dxa"/>
                </w:tcPr>
                <w:p w:rsidR="00146DB7" w:rsidRPr="00FE454A" w:rsidRDefault="00146DB7" w:rsidP="00146DB7">
                  <w:pPr>
                    <w:jc w:val="center"/>
                    <w:rPr>
                      <w:sz w:val="22"/>
                      <w:szCs w:val="22"/>
                    </w:rPr>
                  </w:pPr>
                  <w:r w:rsidRPr="00FE454A">
                    <w:rPr>
                      <w:sz w:val="22"/>
                      <w:szCs w:val="22"/>
                    </w:rPr>
                    <w:t>1,5</w:t>
                  </w:r>
                </w:p>
              </w:tc>
              <w:tc>
                <w:tcPr>
                  <w:tcW w:w="1578" w:type="dxa"/>
                </w:tcPr>
                <w:p w:rsidR="00146DB7" w:rsidRPr="00FE454A" w:rsidRDefault="00146DB7" w:rsidP="00146DB7">
                  <w:pPr>
                    <w:jc w:val="center"/>
                    <w:rPr>
                      <w:sz w:val="22"/>
                      <w:szCs w:val="22"/>
                    </w:rPr>
                  </w:pPr>
                  <w:r w:rsidRPr="00FE454A">
                    <w:rPr>
                      <w:sz w:val="22"/>
                      <w:szCs w:val="22"/>
                    </w:rPr>
                    <w:t>22,6</w:t>
                  </w:r>
                </w:p>
              </w:tc>
              <w:tc>
                <w:tcPr>
                  <w:tcW w:w="1417" w:type="dxa"/>
                </w:tcPr>
                <w:p w:rsidR="00146DB7" w:rsidRPr="00FE454A" w:rsidRDefault="00146DB7" w:rsidP="00146DB7">
                  <w:pPr>
                    <w:jc w:val="center"/>
                    <w:rPr>
                      <w:sz w:val="22"/>
                      <w:szCs w:val="22"/>
                    </w:rPr>
                  </w:pPr>
                  <w:r w:rsidRPr="00FE454A">
                    <w:rPr>
                      <w:sz w:val="22"/>
                      <w:szCs w:val="22"/>
                    </w:rPr>
                    <w:t>24,1</w:t>
                  </w:r>
                </w:p>
              </w:tc>
              <w:tc>
                <w:tcPr>
                  <w:tcW w:w="1134" w:type="dxa"/>
                </w:tcPr>
                <w:p w:rsidR="00146DB7" w:rsidRPr="00FE454A" w:rsidRDefault="00146DB7" w:rsidP="00146DB7">
                  <w:pPr>
                    <w:jc w:val="center"/>
                    <w:rPr>
                      <w:sz w:val="22"/>
                      <w:szCs w:val="22"/>
                    </w:rPr>
                  </w:pPr>
                  <w:r w:rsidRPr="00FE454A">
                    <w:rPr>
                      <w:sz w:val="22"/>
                      <w:szCs w:val="22"/>
                    </w:rPr>
                    <w:t>9,2</w:t>
                  </w:r>
                </w:p>
              </w:tc>
            </w:tr>
            <w:tr w:rsidR="00146DB7" w:rsidRPr="00FE454A" w:rsidTr="009716CF">
              <w:tc>
                <w:tcPr>
                  <w:tcW w:w="1297" w:type="dxa"/>
                </w:tcPr>
                <w:p w:rsidR="00146DB7" w:rsidRPr="00FE454A" w:rsidRDefault="00146DB7" w:rsidP="00146DB7">
                  <w:pPr>
                    <w:rPr>
                      <w:sz w:val="22"/>
                      <w:szCs w:val="22"/>
                    </w:rPr>
                  </w:pPr>
                  <w:proofErr w:type="spellStart"/>
                  <w:r w:rsidRPr="00FE454A">
                    <w:rPr>
                      <w:sz w:val="22"/>
                      <w:szCs w:val="22"/>
                    </w:rPr>
                    <w:t>Bovins</w:t>
                  </w:r>
                  <w:proofErr w:type="spellEnd"/>
                  <w:r w:rsidRPr="00FE454A">
                    <w:rPr>
                      <w:sz w:val="22"/>
                      <w:szCs w:val="22"/>
                    </w:rPr>
                    <w:t xml:space="preserve"> </w:t>
                  </w:r>
                  <w:proofErr w:type="spellStart"/>
                  <w:r w:rsidRPr="00FE454A">
                    <w:rPr>
                      <w:sz w:val="22"/>
                      <w:szCs w:val="22"/>
                    </w:rPr>
                    <w:t>viande</w:t>
                  </w:r>
                  <w:proofErr w:type="spellEnd"/>
                </w:p>
              </w:tc>
              <w:tc>
                <w:tcPr>
                  <w:tcW w:w="1265" w:type="dxa"/>
                </w:tcPr>
                <w:p w:rsidR="00146DB7" w:rsidRPr="00FE454A" w:rsidRDefault="00146DB7" w:rsidP="00146DB7">
                  <w:pPr>
                    <w:jc w:val="center"/>
                    <w:rPr>
                      <w:sz w:val="22"/>
                      <w:szCs w:val="22"/>
                    </w:rPr>
                  </w:pPr>
                  <w:r w:rsidRPr="00FE454A">
                    <w:rPr>
                      <w:sz w:val="22"/>
                      <w:szCs w:val="22"/>
                    </w:rPr>
                    <w:t>5,6</w:t>
                  </w:r>
                </w:p>
              </w:tc>
              <w:tc>
                <w:tcPr>
                  <w:tcW w:w="1578" w:type="dxa"/>
                </w:tcPr>
                <w:p w:rsidR="00146DB7" w:rsidRPr="00FE454A" w:rsidRDefault="00146DB7" w:rsidP="00146DB7">
                  <w:pPr>
                    <w:jc w:val="center"/>
                    <w:rPr>
                      <w:sz w:val="22"/>
                      <w:szCs w:val="22"/>
                    </w:rPr>
                  </w:pPr>
                  <w:r w:rsidRPr="00FE454A">
                    <w:rPr>
                      <w:sz w:val="22"/>
                      <w:szCs w:val="22"/>
                    </w:rPr>
                    <w:t>13,9</w:t>
                  </w:r>
                </w:p>
              </w:tc>
              <w:tc>
                <w:tcPr>
                  <w:tcW w:w="1417" w:type="dxa"/>
                </w:tcPr>
                <w:p w:rsidR="00146DB7" w:rsidRPr="00FE454A" w:rsidRDefault="00146DB7" w:rsidP="00146DB7">
                  <w:pPr>
                    <w:jc w:val="center"/>
                    <w:rPr>
                      <w:sz w:val="22"/>
                      <w:szCs w:val="22"/>
                    </w:rPr>
                  </w:pPr>
                  <w:r w:rsidRPr="00FE454A">
                    <w:rPr>
                      <w:sz w:val="22"/>
                      <w:szCs w:val="22"/>
                    </w:rPr>
                    <w:t>19,5</w:t>
                  </w:r>
                </w:p>
              </w:tc>
              <w:tc>
                <w:tcPr>
                  <w:tcW w:w="1134" w:type="dxa"/>
                </w:tcPr>
                <w:p w:rsidR="00146DB7" w:rsidRPr="00FE454A" w:rsidRDefault="00146DB7" w:rsidP="00146DB7">
                  <w:pPr>
                    <w:jc w:val="center"/>
                    <w:rPr>
                      <w:sz w:val="22"/>
                      <w:szCs w:val="22"/>
                    </w:rPr>
                  </w:pPr>
                  <w:r w:rsidRPr="00FE454A">
                    <w:rPr>
                      <w:sz w:val="22"/>
                      <w:szCs w:val="22"/>
                    </w:rPr>
                    <w:t>11,9</w:t>
                  </w:r>
                </w:p>
              </w:tc>
            </w:tr>
            <w:tr w:rsidR="00146DB7" w:rsidRPr="00FE454A" w:rsidTr="009716CF">
              <w:tc>
                <w:tcPr>
                  <w:tcW w:w="1297" w:type="dxa"/>
                </w:tcPr>
                <w:p w:rsidR="00146DB7" w:rsidRPr="00FE454A" w:rsidRDefault="00146DB7" w:rsidP="00146DB7">
                  <w:pPr>
                    <w:rPr>
                      <w:sz w:val="22"/>
                      <w:szCs w:val="22"/>
                    </w:rPr>
                  </w:pPr>
                </w:p>
              </w:tc>
              <w:tc>
                <w:tcPr>
                  <w:tcW w:w="1265" w:type="dxa"/>
                </w:tcPr>
                <w:p w:rsidR="00146DB7" w:rsidRPr="00FE454A" w:rsidRDefault="00146DB7" w:rsidP="00146DB7">
                  <w:pPr>
                    <w:jc w:val="center"/>
                    <w:rPr>
                      <w:sz w:val="22"/>
                      <w:szCs w:val="22"/>
                    </w:rPr>
                  </w:pPr>
                </w:p>
              </w:tc>
              <w:tc>
                <w:tcPr>
                  <w:tcW w:w="1578" w:type="dxa"/>
                </w:tcPr>
                <w:p w:rsidR="00146DB7" w:rsidRPr="00FE454A" w:rsidRDefault="00146DB7" w:rsidP="00146DB7">
                  <w:pPr>
                    <w:jc w:val="center"/>
                    <w:rPr>
                      <w:sz w:val="22"/>
                      <w:szCs w:val="22"/>
                    </w:rPr>
                  </w:pPr>
                </w:p>
              </w:tc>
              <w:tc>
                <w:tcPr>
                  <w:tcW w:w="1417" w:type="dxa"/>
                </w:tcPr>
                <w:p w:rsidR="00146DB7" w:rsidRPr="00FE454A" w:rsidRDefault="00146DB7" w:rsidP="00146DB7">
                  <w:pPr>
                    <w:jc w:val="center"/>
                    <w:rPr>
                      <w:sz w:val="22"/>
                      <w:szCs w:val="22"/>
                    </w:rPr>
                  </w:pPr>
                </w:p>
              </w:tc>
              <w:tc>
                <w:tcPr>
                  <w:tcW w:w="1134" w:type="dxa"/>
                </w:tcPr>
                <w:p w:rsidR="00146DB7" w:rsidRPr="00FE454A" w:rsidRDefault="00146DB7" w:rsidP="00146DB7">
                  <w:pPr>
                    <w:jc w:val="center"/>
                    <w:rPr>
                      <w:sz w:val="22"/>
                      <w:szCs w:val="22"/>
                    </w:rPr>
                  </w:pPr>
                  <w:r w:rsidRPr="00FE454A">
                    <w:rPr>
                      <w:sz w:val="22"/>
                      <w:szCs w:val="22"/>
                    </w:rPr>
                    <w:t>36,7</w:t>
                  </w:r>
                </w:p>
              </w:tc>
            </w:tr>
          </w:tbl>
          <w:p w:rsidR="00146DB7" w:rsidRPr="00FE454A" w:rsidRDefault="00146DB7" w:rsidP="00146DB7">
            <w:pPr>
              <w:rPr>
                <w:rFonts w:eastAsiaTheme="minorHAnsi" w:cstheme="minorBidi"/>
                <w:sz w:val="22"/>
                <w:szCs w:val="22"/>
              </w:rPr>
            </w:pPr>
          </w:p>
        </w:tc>
        <w:tc>
          <w:tcPr>
            <w:tcW w:w="1129" w:type="dxa"/>
            <w:shd w:val="clear" w:color="auto" w:fill="auto"/>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37</w:t>
            </w:r>
          </w:p>
        </w:tc>
      </w:tr>
      <w:tr w:rsidR="00146DB7" w:rsidRPr="00FE454A" w:rsidTr="009716CF">
        <w:tc>
          <w:tcPr>
            <w:tcW w:w="704" w:type="dxa"/>
            <w:shd w:val="clear" w:color="auto" w:fill="auto"/>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t>FI1</w:t>
            </w:r>
          </w:p>
        </w:tc>
        <w:tc>
          <w:tcPr>
            <w:tcW w:w="7229" w:type="dxa"/>
            <w:shd w:val="clear" w:color="auto" w:fill="auto"/>
          </w:tcPr>
          <w:p w:rsidR="00146DB7" w:rsidRPr="00057CAF" w:rsidRDefault="00146DB7" w:rsidP="00146DB7">
            <w:pPr>
              <w:rPr>
                <w:rFonts w:eastAsiaTheme="minorHAnsi" w:cstheme="minorBidi"/>
                <w:sz w:val="22"/>
                <w:szCs w:val="22"/>
                <w:lang w:val="fr-FR"/>
              </w:rPr>
            </w:pPr>
            <w:r w:rsidRPr="00057CAF">
              <w:rPr>
                <w:rFonts w:eastAsiaTheme="minorHAnsi" w:cstheme="minorBidi"/>
                <w:sz w:val="22"/>
                <w:szCs w:val="22"/>
                <w:lang w:val="fr-FR"/>
              </w:rPr>
              <w:t xml:space="preserve">FI1 = FE1+FE2+FE3+FE4+FI2-FS1-FI3- </w:t>
            </w:r>
            <w:r w:rsidRPr="00FE454A">
              <w:rPr>
                <w:rFonts w:eastAsiaTheme="minorHAnsi" w:cstheme="minorBidi"/>
                <w:sz w:val="22"/>
                <w:szCs w:val="22"/>
              </w:rPr>
              <w:t></w:t>
            </w:r>
            <w:r w:rsidRPr="00FE454A">
              <w:rPr>
                <w:rFonts w:eastAsiaTheme="minorHAnsi" w:cstheme="minorBidi"/>
                <w:sz w:val="22"/>
                <w:szCs w:val="22"/>
              </w:rPr>
              <w:t></w:t>
            </w:r>
            <w:r w:rsidRPr="00057CAF">
              <w:rPr>
                <w:rFonts w:eastAsiaTheme="minorHAnsi" w:cstheme="minorBidi"/>
                <w:sz w:val="22"/>
                <w:szCs w:val="22"/>
                <w:lang w:val="fr-FR"/>
              </w:rPr>
              <w:t>= 69,8</w:t>
            </w:r>
          </w:p>
          <w:p w:rsidR="00146DB7" w:rsidRPr="00057CAF" w:rsidRDefault="00146DB7" w:rsidP="00146DB7">
            <w:pPr>
              <w:rPr>
                <w:rFonts w:eastAsiaTheme="minorHAnsi" w:cstheme="minorBidi"/>
                <w:sz w:val="22"/>
                <w:szCs w:val="22"/>
                <w:lang w:val="fr-FR"/>
              </w:rPr>
            </w:pPr>
            <w:r w:rsidRPr="00057CAF">
              <w:rPr>
                <w:rFonts w:eastAsiaTheme="minorHAnsi" w:cstheme="minorBidi"/>
                <w:sz w:val="22"/>
                <w:szCs w:val="22"/>
                <w:lang w:val="fr-FR"/>
              </w:rPr>
              <w:t xml:space="preserve">La somme FI1+FI3, qui correspond aux exportations totales des récoltes, serait alors de 138 kT. Cette valeur contraste avec celle des rapports ICEW (2014) et REEW (2017), qui indique des exportations totales par les récoltes de l’ordre de 180 kT/an (selon </w:t>
            </w:r>
            <w:proofErr w:type="spellStart"/>
            <w:r w:rsidRPr="00057CAF">
              <w:rPr>
                <w:rFonts w:eastAsiaTheme="minorHAnsi" w:cstheme="minorBidi"/>
                <w:sz w:val="22"/>
                <w:szCs w:val="22"/>
                <w:lang w:val="fr-FR"/>
              </w:rPr>
              <w:t>ULg</w:t>
            </w:r>
            <w:proofErr w:type="spellEnd"/>
            <w:r w:rsidRPr="00057CAF">
              <w:rPr>
                <w:rFonts w:eastAsiaTheme="minorHAnsi" w:cstheme="minorBidi"/>
                <w:sz w:val="22"/>
                <w:szCs w:val="22"/>
                <w:lang w:val="fr-FR"/>
              </w:rPr>
              <w:t xml:space="preserve"> </w:t>
            </w:r>
            <w:proofErr w:type="spellStart"/>
            <w:r w:rsidRPr="00057CAF">
              <w:rPr>
                <w:rFonts w:eastAsiaTheme="minorHAnsi" w:cstheme="minorBidi"/>
                <w:sz w:val="22"/>
                <w:szCs w:val="22"/>
                <w:lang w:val="fr-FR"/>
              </w:rPr>
              <w:t>GxABT</w:t>
            </w:r>
            <w:proofErr w:type="spellEnd"/>
            <w:r w:rsidRPr="00057CAF">
              <w:rPr>
                <w:rFonts w:eastAsiaTheme="minorHAnsi" w:cstheme="minorBidi"/>
                <w:sz w:val="22"/>
                <w:szCs w:val="22"/>
                <w:lang w:val="fr-FR"/>
              </w:rPr>
              <w:t xml:space="preserve"> - Unité Systèmes </w:t>
            </w:r>
            <w:proofErr w:type="spellStart"/>
            <w:r w:rsidRPr="00057CAF">
              <w:rPr>
                <w:rFonts w:eastAsiaTheme="minorHAnsi" w:cstheme="minorBidi"/>
                <w:sz w:val="22"/>
                <w:szCs w:val="22"/>
                <w:lang w:val="fr-FR"/>
              </w:rPr>
              <w:t>Sol-eau</w:t>
            </w:r>
            <w:proofErr w:type="spellEnd"/>
            <w:r w:rsidRPr="00057CAF">
              <w:rPr>
                <w:rFonts w:eastAsiaTheme="minorHAnsi" w:cstheme="minorBidi"/>
                <w:sz w:val="22"/>
                <w:szCs w:val="22"/>
                <w:lang w:val="fr-FR"/>
              </w:rPr>
              <w:t xml:space="preserve">, modèle </w:t>
            </w:r>
            <w:proofErr w:type="spellStart"/>
            <w:r w:rsidRPr="00057CAF">
              <w:rPr>
                <w:rFonts w:eastAsiaTheme="minorHAnsi" w:cstheme="minorBidi"/>
                <w:sz w:val="22"/>
                <w:szCs w:val="22"/>
                <w:lang w:val="fr-FR"/>
              </w:rPr>
              <w:t>EPICgrid</w:t>
            </w:r>
            <w:proofErr w:type="spellEnd"/>
            <w:r w:rsidRPr="00057CAF">
              <w:rPr>
                <w:rFonts w:eastAsiaTheme="minorHAnsi" w:cstheme="minorBidi"/>
                <w:sz w:val="22"/>
                <w:szCs w:val="22"/>
                <w:lang w:val="fr-FR"/>
              </w:rPr>
              <w:t xml:space="preserve">). La différence est liée à l’incohérence entre les données à l’hectare et celles pour la SAU (une centaine de kg/ha et de kT sur la SAU totale pour N minéral, malgré une SAU de quelque 715 000 ha).   </w:t>
            </w:r>
          </w:p>
        </w:tc>
        <w:tc>
          <w:tcPr>
            <w:tcW w:w="1129" w:type="dxa"/>
            <w:shd w:val="clear" w:color="auto" w:fill="auto"/>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70</w:t>
            </w:r>
          </w:p>
        </w:tc>
      </w:tr>
      <w:tr w:rsidR="00146DB7" w:rsidRPr="00FE454A" w:rsidTr="009716CF">
        <w:tc>
          <w:tcPr>
            <w:tcW w:w="704" w:type="dxa"/>
            <w:shd w:val="clear" w:color="auto" w:fill="auto"/>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lastRenderedPageBreak/>
              <w:t>FI2</w:t>
            </w:r>
          </w:p>
        </w:tc>
        <w:tc>
          <w:tcPr>
            <w:tcW w:w="7229" w:type="dxa"/>
            <w:shd w:val="clear" w:color="auto" w:fill="auto"/>
          </w:tcPr>
          <w:p w:rsidR="00146DB7" w:rsidRPr="00057CAF" w:rsidRDefault="00146DB7" w:rsidP="00146DB7">
            <w:pPr>
              <w:rPr>
                <w:rFonts w:eastAsiaTheme="minorHAnsi" w:cstheme="minorBidi"/>
                <w:sz w:val="22"/>
                <w:szCs w:val="22"/>
                <w:highlight w:val="yellow"/>
                <w:lang w:val="fr-FR"/>
              </w:rPr>
            </w:pPr>
            <w:r w:rsidRPr="00057CAF">
              <w:rPr>
                <w:rFonts w:eastAsiaTheme="minorHAnsi" w:cstheme="minorBidi"/>
                <w:sz w:val="22"/>
                <w:szCs w:val="22"/>
                <w:lang w:val="fr-FR"/>
              </w:rPr>
              <w:t>La fertilisation organique est estimée à 94,9 kg/ha de SAU en 2010-2012 (ICEW, 2014) et 89,8 kg/ha en 2014 (ICEW, 2017), ce qui correspond à 68,5 kT et 64,4 kT pour la SAU totale. FI2 se calcule en soustrayant FE4, il reste donc 62-66 kT</w:t>
            </w:r>
          </w:p>
        </w:tc>
        <w:tc>
          <w:tcPr>
            <w:tcW w:w="1129" w:type="dxa"/>
            <w:shd w:val="clear" w:color="auto" w:fill="auto"/>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64</w:t>
            </w:r>
          </w:p>
        </w:tc>
      </w:tr>
      <w:tr w:rsidR="00146DB7" w:rsidRPr="00FE454A" w:rsidTr="009716CF">
        <w:tc>
          <w:tcPr>
            <w:tcW w:w="704" w:type="dxa"/>
            <w:shd w:val="clear" w:color="auto" w:fill="auto"/>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t>FI3</w:t>
            </w:r>
          </w:p>
        </w:tc>
        <w:tc>
          <w:tcPr>
            <w:tcW w:w="7229" w:type="dxa"/>
            <w:shd w:val="clear" w:color="auto" w:fill="auto"/>
          </w:tcPr>
          <w:p w:rsidR="00146DB7" w:rsidRPr="00057CAF" w:rsidRDefault="00146DB7" w:rsidP="00146DB7">
            <w:pPr>
              <w:rPr>
                <w:rFonts w:eastAsiaTheme="minorHAnsi" w:cstheme="minorBidi"/>
                <w:sz w:val="22"/>
                <w:szCs w:val="22"/>
                <w:lang w:val="fr-FR"/>
              </w:rPr>
            </w:pPr>
            <w:r w:rsidRPr="00057CAF">
              <w:rPr>
                <w:rFonts w:eastAsiaTheme="minorHAnsi" w:cstheme="minorBidi"/>
                <w:sz w:val="22"/>
                <w:szCs w:val="22"/>
                <w:lang w:val="fr-FR"/>
              </w:rPr>
              <w:t xml:space="preserve">D’après les statistiques de la </w:t>
            </w:r>
            <w:proofErr w:type="spellStart"/>
            <w:r w:rsidRPr="00057CAF">
              <w:rPr>
                <w:rFonts w:eastAsiaTheme="minorHAnsi" w:cstheme="minorBidi"/>
                <w:sz w:val="22"/>
                <w:szCs w:val="22"/>
                <w:lang w:val="fr-FR"/>
              </w:rPr>
              <w:t>DgoARNE</w:t>
            </w:r>
            <w:proofErr w:type="spellEnd"/>
            <w:r w:rsidRPr="00057CAF">
              <w:rPr>
                <w:rFonts w:eastAsiaTheme="minorHAnsi" w:cstheme="minorBidi"/>
                <w:sz w:val="22"/>
                <w:szCs w:val="22"/>
                <w:lang w:val="fr-FR"/>
              </w:rPr>
              <w:t xml:space="preserve"> (2014-2015), complétées par des données de production compilées par </w:t>
            </w:r>
            <w:proofErr w:type="spellStart"/>
            <w:r w:rsidRPr="00057CAF">
              <w:rPr>
                <w:rFonts w:eastAsiaTheme="minorHAnsi" w:cstheme="minorBidi"/>
                <w:sz w:val="22"/>
                <w:szCs w:val="22"/>
                <w:lang w:val="fr-FR"/>
              </w:rPr>
              <w:t>Riera</w:t>
            </w:r>
            <w:proofErr w:type="spellEnd"/>
            <w:r w:rsidRPr="00057CAF">
              <w:rPr>
                <w:rFonts w:eastAsiaTheme="minorHAnsi" w:cstheme="minorBidi"/>
                <w:sz w:val="22"/>
                <w:szCs w:val="22"/>
                <w:lang w:val="fr-FR"/>
              </w:rPr>
              <w:t xml:space="preserve"> et al. (2019) et les teneurs en protéine présentées par Huyghe (2003), légèrement corrigées à la hausse (9% MAT au lieu de 8%) pour les prairies permanentes en raison de leur caractère relativement plus intensif en Wallonie (en comparaison de la France), la production fourragère wallonne est estimée en 2013 à 67,8 kT N/an (dont 31,7 par les prairies permanentes, 5,3 par les prairies temporaires et 30,8 par le maïs fourrager).</w:t>
            </w:r>
          </w:p>
        </w:tc>
        <w:tc>
          <w:tcPr>
            <w:tcW w:w="1129" w:type="dxa"/>
            <w:shd w:val="clear" w:color="auto" w:fill="auto"/>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68</w:t>
            </w:r>
          </w:p>
        </w:tc>
      </w:tr>
      <w:tr w:rsidR="00146DB7" w:rsidRPr="00FE454A" w:rsidTr="009716CF">
        <w:tc>
          <w:tcPr>
            <w:tcW w:w="704" w:type="dxa"/>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t>FI4</w:t>
            </w:r>
          </w:p>
        </w:tc>
        <w:tc>
          <w:tcPr>
            <w:tcW w:w="7229" w:type="dxa"/>
          </w:tcPr>
          <w:p w:rsidR="00146DB7" w:rsidRPr="00057CAF" w:rsidRDefault="00146DB7" w:rsidP="00146DB7">
            <w:pPr>
              <w:rPr>
                <w:rFonts w:eastAsiaTheme="minorHAnsi" w:cstheme="minorBidi"/>
                <w:sz w:val="22"/>
                <w:szCs w:val="22"/>
                <w:lang w:val="fr-FR"/>
              </w:rPr>
            </w:pPr>
            <w:proofErr w:type="spellStart"/>
            <w:r w:rsidRPr="00057CAF">
              <w:rPr>
                <w:rFonts w:eastAsiaTheme="minorHAnsi" w:cstheme="minorBidi"/>
                <w:sz w:val="22"/>
                <w:szCs w:val="22"/>
                <w:lang w:val="fr-FR"/>
              </w:rPr>
              <w:t>Delcour</w:t>
            </w:r>
            <w:proofErr w:type="spellEnd"/>
            <w:r w:rsidRPr="00057CAF">
              <w:rPr>
                <w:rFonts w:eastAsiaTheme="minorHAnsi" w:cstheme="minorBidi"/>
                <w:sz w:val="22"/>
                <w:szCs w:val="22"/>
                <w:lang w:val="fr-FR"/>
              </w:rPr>
              <w:t xml:space="preserve"> </w:t>
            </w:r>
            <w:r w:rsidRPr="00057CAF">
              <w:rPr>
                <w:rFonts w:eastAsiaTheme="minorHAnsi" w:cstheme="minorBidi"/>
                <w:i/>
                <w:sz w:val="22"/>
                <w:szCs w:val="22"/>
                <w:lang w:val="fr-FR"/>
              </w:rPr>
              <w:t>et al.</w:t>
            </w:r>
            <w:r w:rsidRPr="00057CAF">
              <w:rPr>
                <w:rFonts w:eastAsiaTheme="minorHAnsi" w:cstheme="minorBidi"/>
                <w:sz w:val="22"/>
                <w:szCs w:val="22"/>
                <w:lang w:val="fr-FR"/>
              </w:rPr>
              <w:t xml:space="preserve"> (2014) estiment que 80% des pailles vont dans les fumiers. A raison de 190 000 ha de céréales en 2012 (</w:t>
            </w:r>
            <w:proofErr w:type="spellStart"/>
            <w:r w:rsidRPr="00057CAF">
              <w:rPr>
                <w:rFonts w:eastAsiaTheme="minorHAnsi" w:cstheme="minorBidi"/>
                <w:sz w:val="22"/>
                <w:szCs w:val="22"/>
                <w:lang w:val="fr-FR"/>
              </w:rPr>
              <w:t>DgoARNE</w:t>
            </w:r>
            <w:proofErr w:type="spellEnd"/>
            <w:r w:rsidRPr="00057CAF">
              <w:rPr>
                <w:rFonts w:eastAsiaTheme="minorHAnsi" w:cstheme="minorBidi"/>
                <w:sz w:val="22"/>
                <w:szCs w:val="22"/>
                <w:lang w:val="fr-FR"/>
              </w:rPr>
              <w:t>, 2013), 4T/ha de paille</w:t>
            </w:r>
            <w:r w:rsidRPr="00FE454A">
              <w:rPr>
                <w:rFonts w:eastAsiaTheme="minorHAnsi" w:cstheme="minorBidi"/>
                <w:sz w:val="22"/>
                <w:szCs w:val="22"/>
                <w:vertAlign w:val="superscript"/>
              </w:rPr>
              <w:footnoteReference w:id="5"/>
            </w:r>
            <w:r w:rsidRPr="00057CAF">
              <w:rPr>
                <w:rFonts w:eastAsiaTheme="minorHAnsi" w:cstheme="minorBidi"/>
                <w:sz w:val="22"/>
                <w:szCs w:val="22"/>
                <w:lang w:val="fr-FR"/>
              </w:rPr>
              <w:t xml:space="preserve"> et 7,5 </w:t>
            </w:r>
            <w:proofErr w:type="spellStart"/>
            <w:r w:rsidRPr="00057CAF">
              <w:rPr>
                <w:rFonts w:eastAsiaTheme="minorHAnsi" w:cstheme="minorBidi"/>
                <w:sz w:val="22"/>
                <w:szCs w:val="22"/>
                <w:lang w:val="fr-FR"/>
              </w:rPr>
              <w:t>kgN</w:t>
            </w:r>
            <w:proofErr w:type="spellEnd"/>
            <w:r w:rsidRPr="00057CAF">
              <w:rPr>
                <w:rFonts w:eastAsiaTheme="minorHAnsi" w:cstheme="minorBidi"/>
                <w:sz w:val="22"/>
                <w:szCs w:val="22"/>
                <w:lang w:val="fr-FR"/>
              </w:rPr>
              <w:t xml:space="preserve">/T de paille, ces 80% représentent 4,6 kT. </w:t>
            </w:r>
          </w:p>
        </w:tc>
        <w:tc>
          <w:tcPr>
            <w:tcW w:w="1129" w:type="dxa"/>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5</w:t>
            </w:r>
          </w:p>
        </w:tc>
      </w:tr>
      <w:tr w:rsidR="00146DB7" w:rsidRPr="00FE454A" w:rsidTr="009716CF">
        <w:tc>
          <w:tcPr>
            <w:tcW w:w="704" w:type="dxa"/>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t>FI5</w:t>
            </w:r>
          </w:p>
        </w:tc>
        <w:tc>
          <w:tcPr>
            <w:tcW w:w="7229" w:type="dxa"/>
          </w:tcPr>
          <w:p w:rsidR="00146DB7" w:rsidRPr="00FE454A" w:rsidRDefault="00146DB7" w:rsidP="00146DB7">
            <w:pPr>
              <w:rPr>
                <w:rFonts w:eastAsiaTheme="minorHAnsi" w:cstheme="minorBidi"/>
                <w:sz w:val="22"/>
                <w:szCs w:val="22"/>
              </w:rPr>
            </w:pPr>
            <w:r w:rsidRPr="00057CAF">
              <w:rPr>
                <w:rFonts w:eastAsiaTheme="minorHAnsi" w:cstheme="minorBidi"/>
                <w:sz w:val="22"/>
                <w:szCs w:val="22"/>
                <w:lang w:val="fr-FR"/>
              </w:rPr>
              <w:t xml:space="preserve">FI5 est la part de l’azote ingéré par les animaux et non incorporée dans leur production. </w:t>
            </w:r>
            <w:r w:rsidRPr="00FE454A">
              <w:rPr>
                <w:rFonts w:eastAsiaTheme="minorHAnsi" w:cstheme="minorBidi"/>
                <w:sz w:val="22"/>
                <w:szCs w:val="22"/>
              </w:rPr>
              <w:t xml:space="preserve">FI5 = FE5 + FI3 – FS4 = 36,7 + 67,8 – 21 = 84,5 </w:t>
            </w:r>
          </w:p>
        </w:tc>
        <w:tc>
          <w:tcPr>
            <w:tcW w:w="1129" w:type="dxa"/>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84</w:t>
            </w:r>
          </w:p>
        </w:tc>
      </w:tr>
      <w:tr w:rsidR="00146DB7" w:rsidRPr="00FE454A" w:rsidTr="009716CF">
        <w:tc>
          <w:tcPr>
            <w:tcW w:w="704" w:type="dxa"/>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t>FS1</w:t>
            </w:r>
          </w:p>
        </w:tc>
        <w:tc>
          <w:tcPr>
            <w:tcW w:w="7229" w:type="dxa"/>
          </w:tcPr>
          <w:p w:rsidR="00146DB7" w:rsidRPr="00057CAF" w:rsidRDefault="00146DB7" w:rsidP="00146DB7">
            <w:pPr>
              <w:rPr>
                <w:rFonts w:eastAsiaTheme="minorHAnsi" w:cstheme="minorBidi"/>
                <w:sz w:val="22"/>
                <w:szCs w:val="22"/>
                <w:lang w:val="fr-FR"/>
              </w:rPr>
            </w:pPr>
            <w:r w:rsidRPr="00057CAF">
              <w:rPr>
                <w:rFonts w:eastAsiaTheme="minorHAnsi" w:cstheme="minorBidi"/>
                <w:sz w:val="22"/>
                <w:szCs w:val="22"/>
                <w:lang w:val="fr-FR"/>
              </w:rPr>
              <w:t xml:space="preserve">Les pertes à partir du sol sont estimées à 45,6 kT/an en 2011-2013 (ICEW, 2014, selon </w:t>
            </w:r>
            <w:proofErr w:type="spellStart"/>
            <w:r w:rsidRPr="00057CAF">
              <w:rPr>
                <w:rFonts w:eastAsiaTheme="minorHAnsi" w:cstheme="minorBidi"/>
                <w:sz w:val="22"/>
                <w:szCs w:val="22"/>
                <w:lang w:val="fr-FR"/>
              </w:rPr>
              <w:t>ULg</w:t>
            </w:r>
            <w:proofErr w:type="spellEnd"/>
            <w:r w:rsidRPr="00057CAF">
              <w:rPr>
                <w:rFonts w:eastAsiaTheme="minorHAnsi" w:cstheme="minorBidi"/>
                <w:sz w:val="22"/>
                <w:szCs w:val="22"/>
                <w:lang w:val="fr-FR"/>
              </w:rPr>
              <w:t xml:space="preserve"> </w:t>
            </w:r>
            <w:proofErr w:type="spellStart"/>
            <w:r w:rsidRPr="00057CAF">
              <w:rPr>
                <w:rFonts w:eastAsiaTheme="minorHAnsi" w:cstheme="minorBidi"/>
                <w:sz w:val="22"/>
                <w:szCs w:val="22"/>
                <w:lang w:val="fr-FR"/>
              </w:rPr>
              <w:t>GxABT</w:t>
            </w:r>
            <w:proofErr w:type="spellEnd"/>
            <w:r w:rsidRPr="00057CAF">
              <w:rPr>
                <w:rFonts w:eastAsiaTheme="minorHAnsi" w:cstheme="minorBidi"/>
                <w:sz w:val="22"/>
                <w:szCs w:val="22"/>
                <w:lang w:val="fr-FR"/>
              </w:rPr>
              <w:t xml:space="preserve"> - Unité Systèmes </w:t>
            </w:r>
            <w:proofErr w:type="spellStart"/>
            <w:r w:rsidRPr="00057CAF">
              <w:rPr>
                <w:rFonts w:eastAsiaTheme="minorHAnsi" w:cstheme="minorBidi"/>
                <w:sz w:val="22"/>
                <w:szCs w:val="22"/>
                <w:lang w:val="fr-FR"/>
              </w:rPr>
              <w:t>Sol-eau</w:t>
            </w:r>
            <w:proofErr w:type="spellEnd"/>
            <w:r w:rsidRPr="00057CAF">
              <w:rPr>
                <w:rFonts w:eastAsiaTheme="minorHAnsi" w:cstheme="minorBidi"/>
                <w:sz w:val="22"/>
                <w:szCs w:val="22"/>
                <w:lang w:val="fr-FR"/>
              </w:rPr>
              <w:t xml:space="preserve"> (modèle </w:t>
            </w:r>
            <w:proofErr w:type="spellStart"/>
            <w:r w:rsidRPr="00057CAF">
              <w:rPr>
                <w:rFonts w:eastAsiaTheme="minorHAnsi" w:cstheme="minorBidi"/>
                <w:sz w:val="22"/>
                <w:szCs w:val="22"/>
                <w:lang w:val="fr-FR"/>
              </w:rPr>
              <w:t>EPICgrid</w:t>
            </w:r>
            <w:proofErr w:type="spellEnd"/>
            <w:r w:rsidRPr="00057CAF">
              <w:rPr>
                <w:rFonts w:eastAsiaTheme="minorHAnsi" w:cstheme="minorBidi"/>
                <w:sz w:val="22"/>
                <w:szCs w:val="22"/>
                <w:lang w:val="fr-FR"/>
              </w:rPr>
              <w:t xml:space="preserve">), réparties entre 24,4 de volatilisation, 12,6 de lessivage vers les eaux de surface, 7,5 de lessivage vers les eaux souterraines et 1,0 de perte par érosion. Les moyennes 2011 – 2015 sont estimées à 14,5 et 7,7 kt N vers les eaux de surface et souterraines respectivement (ICEW, 2017). </w:t>
            </w:r>
          </w:p>
        </w:tc>
        <w:tc>
          <w:tcPr>
            <w:tcW w:w="1129" w:type="dxa"/>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46</w:t>
            </w:r>
          </w:p>
        </w:tc>
      </w:tr>
      <w:tr w:rsidR="00146DB7" w:rsidRPr="00FE454A" w:rsidTr="009716CF">
        <w:tc>
          <w:tcPr>
            <w:tcW w:w="704" w:type="dxa"/>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t>FS2</w:t>
            </w:r>
          </w:p>
        </w:tc>
        <w:tc>
          <w:tcPr>
            <w:tcW w:w="7229" w:type="dxa"/>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t>FS2=FI1-FI4=65</w:t>
            </w:r>
          </w:p>
        </w:tc>
        <w:tc>
          <w:tcPr>
            <w:tcW w:w="1129" w:type="dxa"/>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65</w:t>
            </w:r>
          </w:p>
        </w:tc>
      </w:tr>
      <w:tr w:rsidR="00146DB7" w:rsidRPr="00FE454A" w:rsidTr="009716CF">
        <w:tc>
          <w:tcPr>
            <w:tcW w:w="704" w:type="dxa"/>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t>FS3</w:t>
            </w:r>
          </w:p>
        </w:tc>
        <w:tc>
          <w:tcPr>
            <w:tcW w:w="7229" w:type="dxa"/>
          </w:tcPr>
          <w:p w:rsidR="00146DB7" w:rsidRPr="00FE454A" w:rsidRDefault="00146DB7" w:rsidP="00146DB7">
            <w:pPr>
              <w:rPr>
                <w:rFonts w:eastAsiaTheme="minorHAnsi" w:cstheme="minorBidi"/>
                <w:sz w:val="22"/>
                <w:szCs w:val="22"/>
              </w:rPr>
            </w:pPr>
            <w:r w:rsidRPr="00057CAF">
              <w:rPr>
                <w:rFonts w:eastAsiaTheme="minorHAnsi" w:cstheme="minorBidi"/>
                <w:sz w:val="22"/>
                <w:szCs w:val="22"/>
                <w:lang w:val="fr-FR"/>
              </w:rPr>
              <w:t xml:space="preserve">FS3 se calcule en proportion de FI5. Le rapport FS3/FI5 est estimé d’après la littérature (Peyraud </w:t>
            </w:r>
            <w:r w:rsidRPr="00057CAF">
              <w:rPr>
                <w:rFonts w:eastAsiaTheme="minorHAnsi" w:cstheme="minorBidi"/>
                <w:i/>
                <w:sz w:val="22"/>
                <w:szCs w:val="22"/>
                <w:lang w:val="fr-FR"/>
              </w:rPr>
              <w:t>et al.</w:t>
            </w:r>
            <w:r w:rsidRPr="00057CAF">
              <w:rPr>
                <w:rFonts w:eastAsiaTheme="minorHAnsi" w:cstheme="minorBidi"/>
                <w:sz w:val="22"/>
                <w:szCs w:val="22"/>
                <w:lang w:val="fr-FR"/>
              </w:rPr>
              <w:t xml:space="preserve">, 2012, Béline </w:t>
            </w:r>
            <w:r w:rsidRPr="00057CAF">
              <w:rPr>
                <w:rFonts w:eastAsiaTheme="minorHAnsi" w:cstheme="minorBidi"/>
                <w:i/>
                <w:sz w:val="22"/>
                <w:szCs w:val="22"/>
                <w:lang w:val="fr-FR"/>
              </w:rPr>
              <w:t>et al.</w:t>
            </w:r>
            <w:r w:rsidRPr="00057CAF">
              <w:rPr>
                <w:rFonts w:eastAsiaTheme="minorHAnsi" w:cstheme="minorBidi"/>
                <w:sz w:val="22"/>
                <w:szCs w:val="22"/>
                <w:lang w:val="fr-FR"/>
              </w:rPr>
              <w:t xml:space="preserve">, 2006) </w:t>
            </w:r>
            <w:r w:rsidRPr="00057CAF">
              <w:rPr>
                <w:rFonts w:eastAsiaTheme="minorHAnsi" w:cstheme="minorBidi"/>
                <w:sz w:val="22"/>
                <w:szCs w:val="22"/>
                <w:lang w:val="fr-FR" w:eastAsia="pl-PL"/>
              </w:rPr>
              <w:t xml:space="preserve">de l’ordre de 14% chez les bovins, 20-30% chez les porcins, 20-40% chez la volaille. Porcins et volailles représentant quelque 5% des UGB en Wallonie, le ratio est estimé de l’ordre de 15%. </w:t>
            </w:r>
            <w:r w:rsidRPr="00FE454A">
              <w:rPr>
                <w:rFonts w:eastAsiaTheme="minorHAnsi" w:cstheme="minorBidi"/>
                <w:sz w:val="22"/>
                <w:szCs w:val="22"/>
                <w:lang w:eastAsia="pl-PL"/>
              </w:rPr>
              <w:t xml:space="preserve">FS3 </w:t>
            </w:r>
            <w:proofErr w:type="spellStart"/>
            <w:r w:rsidRPr="00FE454A">
              <w:rPr>
                <w:rFonts w:eastAsiaTheme="minorHAnsi" w:cstheme="minorBidi"/>
                <w:sz w:val="22"/>
                <w:szCs w:val="22"/>
                <w:lang w:eastAsia="pl-PL"/>
              </w:rPr>
              <w:t>est</w:t>
            </w:r>
            <w:proofErr w:type="spellEnd"/>
            <w:r w:rsidRPr="00FE454A">
              <w:rPr>
                <w:rFonts w:eastAsiaTheme="minorHAnsi" w:cstheme="minorBidi"/>
                <w:sz w:val="22"/>
                <w:szCs w:val="22"/>
                <w:lang w:eastAsia="pl-PL"/>
              </w:rPr>
              <w:t xml:space="preserve"> </w:t>
            </w:r>
            <w:proofErr w:type="spellStart"/>
            <w:r w:rsidRPr="00FE454A">
              <w:rPr>
                <w:rFonts w:eastAsiaTheme="minorHAnsi" w:cstheme="minorBidi"/>
                <w:sz w:val="22"/>
                <w:szCs w:val="22"/>
                <w:lang w:eastAsia="pl-PL"/>
              </w:rPr>
              <w:t>donc</w:t>
            </w:r>
            <w:proofErr w:type="spellEnd"/>
            <w:r w:rsidRPr="00FE454A">
              <w:rPr>
                <w:rFonts w:eastAsiaTheme="minorHAnsi" w:cstheme="minorBidi"/>
                <w:sz w:val="22"/>
                <w:szCs w:val="22"/>
                <w:lang w:eastAsia="pl-PL"/>
              </w:rPr>
              <w:t xml:space="preserve"> 0,15 FI5 = 12,7</w:t>
            </w:r>
          </w:p>
        </w:tc>
        <w:tc>
          <w:tcPr>
            <w:tcW w:w="1129" w:type="dxa"/>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13</w:t>
            </w:r>
          </w:p>
        </w:tc>
      </w:tr>
      <w:tr w:rsidR="00146DB7" w:rsidRPr="00FE454A" w:rsidTr="009716CF">
        <w:tc>
          <w:tcPr>
            <w:tcW w:w="704" w:type="dxa"/>
          </w:tcPr>
          <w:p w:rsidR="00146DB7" w:rsidRPr="00FE454A" w:rsidRDefault="00146DB7" w:rsidP="00146DB7">
            <w:pPr>
              <w:jc w:val="left"/>
              <w:rPr>
                <w:rFonts w:eastAsiaTheme="minorHAnsi" w:cstheme="minorBidi"/>
                <w:sz w:val="22"/>
                <w:szCs w:val="22"/>
              </w:rPr>
            </w:pPr>
            <w:r w:rsidRPr="00FE454A">
              <w:rPr>
                <w:rFonts w:eastAsiaTheme="minorHAnsi" w:cstheme="minorBidi"/>
                <w:sz w:val="22"/>
                <w:szCs w:val="22"/>
              </w:rPr>
              <w:t>FS4</w:t>
            </w:r>
          </w:p>
        </w:tc>
        <w:tc>
          <w:tcPr>
            <w:tcW w:w="7229" w:type="dxa"/>
          </w:tcPr>
          <w:p w:rsidR="00146DB7" w:rsidRPr="00057CAF" w:rsidRDefault="00146DB7" w:rsidP="00146DB7">
            <w:pPr>
              <w:jc w:val="left"/>
              <w:rPr>
                <w:rFonts w:eastAsiaTheme="minorHAnsi" w:cstheme="minorBidi"/>
                <w:sz w:val="22"/>
                <w:szCs w:val="22"/>
                <w:lang w:val="fr-FR"/>
              </w:rPr>
            </w:pPr>
            <w:r w:rsidRPr="00057CAF">
              <w:rPr>
                <w:rFonts w:eastAsiaTheme="minorHAnsi" w:cstheme="minorBidi"/>
                <w:sz w:val="22"/>
                <w:szCs w:val="22"/>
                <w:lang w:val="fr-FR"/>
              </w:rPr>
              <w:t>FS4 est estimé par deux voies indépendantes</w:t>
            </w:r>
          </w:p>
          <w:p w:rsidR="00146DB7" w:rsidRPr="00057CAF" w:rsidRDefault="00146DB7" w:rsidP="00146DB7">
            <w:pPr>
              <w:jc w:val="left"/>
              <w:rPr>
                <w:rFonts w:eastAsiaTheme="minorHAnsi" w:cstheme="minorBidi"/>
                <w:sz w:val="22"/>
                <w:szCs w:val="22"/>
                <w:lang w:val="fr-FR"/>
              </w:rPr>
            </w:pPr>
            <w:r w:rsidRPr="00057CAF">
              <w:rPr>
                <w:rFonts w:eastAsiaTheme="minorHAnsi" w:cstheme="minorBidi"/>
                <w:sz w:val="22"/>
                <w:szCs w:val="22"/>
                <w:lang w:val="fr-FR"/>
              </w:rPr>
              <w:t>1) d’après l’efficience azotée</w:t>
            </w:r>
          </w:p>
          <w:p w:rsidR="00146DB7" w:rsidRPr="00057CAF" w:rsidRDefault="00146DB7" w:rsidP="00467012">
            <w:pPr>
              <w:rPr>
                <w:rFonts w:eastAsiaTheme="minorHAnsi" w:cstheme="minorBidi"/>
                <w:sz w:val="22"/>
                <w:szCs w:val="22"/>
                <w:lang w:val="fr-FR"/>
              </w:rPr>
            </w:pPr>
            <w:r w:rsidRPr="00057CAF">
              <w:rPr>
                <w:rFonts w:eastAsiaTheme="minorHAnsi" w:cstheme="minorBidi"/>
                <w:sz w:val="22"/>
                <w:szCs w:val="22"/>
                <w:lang w:val="fr-FR"/>
              </w:rPr>
              <w:t xml:space="preserve">Hou </w:t>
            </w:r>
            <w:r w:rsidRPr="00057CAF">
              <w:rPr>
                <w:rFonts w:eastAsiaTheme="minorHAnsi" w:cstheme="minorBidi"/>
                <w:i/>
                <w:sz w:val="22"/>
                <w:szCs w:val="22"/>
                <w:lang w:val="fr-FR"/>
              </w:rPr>
              <w:t>et al</w:t>
            </w:r>
            <w:r w:rsidRPr="00057CAF">
              <w:rPr>
                <w:rFonts w:eastAsiaTheme="minorHAnsi" w:cstheme="minorBidi"/>
                <w:sz w:val="22"/>
                <w:szCs w:val="22"/>
                <w:lang w:val="fr-FR"/>
              </w:rPr>
              <w:t xml:space="preserve">. (2016, cités par </w:t>
            </w:r>
            <w:proofErr w:type="spellStart"/>
            <w:r w:rsidRPr="00057CAF">
              <w:rPr>
                <w:rFonts w:eastAsiaTheme="minorHAnsi" w:cstheme="minorBidi"/>
                <w:sz w:val="22"/>
                <w:szCs w:val="22"/>
                <w:lang w:val="fr-FR"/>
              </w:rPr>
              <w:t>Riera</w:t>
            </w:r>
            <w:proofErr w:type="spellEnd"/>
            <w:r w:rsidRPr="00057CAF">
              <w:rPr>
                <w:rFonts w:eastAsiaTheme="minorHAnsi" w:cstheme="minorBidi"/>
                <w:sz w:val="22"/>
                <w:szCs w:val="22"/>
                <w:lang w:val="fr-FR"/>
              </w:rPr>
              <w:t xml:space="preserve"> et al., 2019) donnent à l’échelle de l’UE les coefficients suivants de </w:t>
            </w:r>
            <w:proofErr w:type="spellStart"/>
            <w:r w:rsidRPr="00057CAF">
              <w:rPr>
                <w:rFonts w:eastAsiaTheme="minorHAnsi" w:cstheme="minorBidi"/>
                <w:sz w:val="22"/>
                <w:szCs w:val="22"/>
                <w:lang w:val="fr-FR"/>
              </w:rPr>
              <w:t>Nitrogen</w:t>
            </w:r>
            <w:proofErr w:type="spellEnd"/>
            <w:r w:rsidRPr="00057CAF">
              <w:rPr>
                <w:rFonts w:eastAsiaTheme="minorHAnsi" w:cstheme="minorBidi"/>
                <w:sz w:val="22"/>
                <w:szCs w:val="22"/>
                <w:lang w:val="fr-FR"/>
              </w:rPr>
              <w:t xml:space="preserve"> Use </w:t>
            </w:r>
            <w:proofErr w:type="spellStart"/>
            <w:r w:rsidRPr="00057CAF">
              <w:rPr>
                <w:rFonts w:eastAsiaTheme="minorHAnsi" w:cstheme="minorBidi"/>
                <w:sz w:val="22"/>
                <w:szCs w:val="22"/>
                <w:lang w:val="fr-FR"/>
              </w:rPr>
              <w:t>efficiency</w:t>
            </w:r>
            <w:proofErr w:type="spellEnd"/>
            <w:r w:rsidRPr="00057CAF">
              <w:rPr>
                <w:rFonts w:eastAsiaTheme="minorHAnsi" w:cstheme="minorBidi"/>
                <w:sz w:val="22"/>
                <w:szCs w:val="22"/>
                <w:lang w:val="fr-FR"/>
              </w:rPr>
              <w:t xml:space="preserve"> : 33% chez les porcs, 40 % chez les poulets de chair, 26 % chez les poules pondeuses, 23 % dans l’élevage laitier, 9 % dans le reste de l’élevage bovin. La synthèse de Peyraud </w:t>
            </w:r>
            <w:r w:rsidRPr="00057CAF">
              <w:rPr>
                <w:rFonts w:eastAsiaTheme="minorHAnsi" w:cstheme="minorBidi"/>
                <w:i/>
                <w:sz w:val="22"/>
                <w:szCs w:val="22"/>
                <w:lang w:val="fr-FR"/>
              </w:rPr>
              <w:t>et al.</w:t>
            </w:r>
            <w:r w:rsidRPr="00057CAF">
              <w:rPr>
                <w:rFonts w:eastAsiaTheme="minorHAnsi" w:cstheme="minorBidi"/>
                <w:sz w:val="22"/>
                <w:szCs w:val="22"/>
                <w:lang w:val="fr-FR"/>
              </w:rPr>
              <w:t xml:space="preserve"> (2012) donne </w:t>
            </w:r>
            <w:r w:rsidRPr="00057CAF">
              <w:rPr>
                <w:rFonts w:eastAsiaTheme="minorHAnsi" w:cstheme="minorBidi"/>
                <w:sz w:val="22"/>
                <w:szCs w:val="22"/>
                <w:lang w:val="fr-FR" w:eastAsia="pl-PL"/>
              </w:rPr>
              <w:t xml:space="preserve">35% pour les porcins et </w:t>
            </w:r>
            <w:r w:rsidRPr="00057CAF">
              <w:rPr>
                <w:rFonts w:eastAsiaTheme="minorHAnsi" w:cstheme="minorBidi"/>
                <w:sz w:val="22"/>
                <w:szCs w:val="22"/>
                <w:lang w:val="fr-FR"/>
              </w:rPr>
              <w:t>poules pondeuses, 67% pour poulets de chair « standard », 28% pour les vaches laitières, 17% pour les vaches allaitantes, 19% pour les jeunes bovins viande. Compte tenu du caractère relativement intensif de l’élevage bovin wallon et peu intensif de l’élevage avicole (importance du bio et d’autres modalités différentiées) nous retenons les données de Peyraud pour les bovins et de Hou pour la volaille. Sur ces bases, et avec 95% des UGB bovines (dont 17% de vaches laitières), 2,4% porcines et 2,5% avicoles, l’efficience moyenne est estimée de l’ordre de 20%.</w:t>
            </w:r>
          </w:p>
          <w:p w:rsidR="00146DB7" w:rsidRPr="00057CAF" w:rsidRDefault="00146DB7" w:rsidP="00146DB7">
            <w:pPr>
              <w:jc w:val="left"/>
              <w:rPr>
                <w:rFonts w:eastAsiaTheme="minorHAnsi" w:cstheme="minorBidi"/>
                <w:sz w:val="22"/>
                <w:szCs w:val="22"/>
                <w:lang w:val="fr-FR"/>
              </w:rPr>
            </w:pPr>
            <w:r w:rsidRPr="00057CAF">
              <w:rPr>
                <w:rFonts w:eastAsiaTheme="minorHAnsi" w:cstheme="minorBidi"/>
                <w:sz w:val="22"/>
                <w:szCs w:val="22"/>
                <w:lang w:val="fr-FR"/>
              </w:rPr>
              <w:t xml:space="preserve">Appliqué à la quantité FE5+FI3=103,5 ce coefficient donne une production de 20,7, à corriger par la variation de stock </w:t>
            </w:r>
            <w:r w:rsidRPr="00FE454A">
              <w:rPr>
                <w:rFonts w:eastAsiaTheme="minorHAnsi" w:cstheme="minorBidi"/>
                <w:sz w:val="22"/>
                <w:szCs w:val="22"/>
              </w:rPr>
              <w:t></w:t>
            </w:r>
            <w:r w:rsidRPr="00057CAF">
              <w:rPr>
                <w:rFonts w:eastAsiaTheme="minorHAnsi" w:cstheme="minorHAnsi"/>
                <w:sz w:val="22"/>
                <w:szCs w:val="22"/>
                <w:lang w:val="fr-FR"/>
              </w:rPr>
              <w:t>’, ce qui donne 21 kT.</w:t>
            </w:r>
          </w:p>
          <w:p w:rsidR="00146DB7" w:rsidRPr="00057CAF" w:rsidRDefault="00146DB7" w:rsidP="00146DB7">
            <w:pPr>
              <w:jc w:val="left"/>
              <w:rPr>
                <w:rFonts w:eastAsiaTheme="minorHAnsi" w:cstheme="minorBidi"/>
                <w:sz w:val="22"/>
                <w:szCs w:val="22"/>
                <w:lang w:val="fr-FR"/>
              </w:rPr>
            </w:pPr>
            <w:r w:rsidRPr="00057CAF">
              <w:rPr>
                <w:rFonts w:eastAsiaTheme="minorHAnsi" w:cstheme="minorBidi"/>
                <w:sz w:val="22"/>
                <w:szCs w:val="22"/>
                <w:lang w:val="fr-FR"/>
              </w:rPr>
              <w:t>2) d’après les données de production</w:t>
            </w:r>
          </w:p>
          <w:p w:rsidR="00146DB7" w:rsidRPr="00057CAF" w:rsidRDefault="00146DB7" w:rsidP="00467012">
            <w:pPr>
              <w:rPr>
                <w:rFonts w:eastAsiaTheme="minorHAnsi" w:cstheme="minorBidi"/>
                <w:sz w:val="22"/>
                <w:szCs w:val="22"/>
                <w:lang w:val="fr-FR"/>
              </w:rPr>
            </w:pPr>
            <w:r w:rsidRPr="00057CAF">
              <w:rPr>
                <w:rFonts w:eastAsiaTheme="minorHAnsi" w:cstheme="minorBidi"/>
                <w:sz w:val="22"/>
                <w:szCs w:val="22"/>
                <w:lang w:val="fr-FR"/>
              </w:rPr>
              <w:t>La production est estimée en 2012 à 378 000 T de viande (bovine, porcine et de volaille) et 1,2 milliards de litres de lait (</w:t>
            </w:r>
            <w:proofErr w:type="spellStart"/>
            <w:r w:rsidRPr="00057CAF">
              <w:rPr>
                <w:rFonts w:eastAsiaTheme="minorHAnsi" w:cstheme="minorBidi"/>
                <w:sz w:val="22"/>
                <w:szCs w:val="22"/>
                <w:lang w:val="fr-FR"/>
              </w:rPr>
              <w:t>DgoARNE</w:t>
            </w:r>
            <w:proofErr w:type="spellEnd"/>
            <w:r w:rsidRPr="00057CAF">
              <w:rPr>
                <w:rFonts w:eastAsiaTheme="minorHAnsi" w:cstheme="minorBidi"/>
                <w:sz w:val="22"/>
                <w:szCs w:val="22"/>
                <w:lang w:val="fr-FR"/>
              </w:rPr>
              <w:t xml:space="preserve">, 2013). Avec 1 336 000 poules pondeuses (même source), la production d’œufs pourrait être de 400 millions d’œufs. A raison d’une teneur pondérale en protéine de 26 % (viande) et 3,4 % (lait) et 13% (œufs, avec 58g/œuf), et un rapport protéine/azote de 6,5, on obtient 21,9 kT N. </w:t>
            </w:r>
          </w:p>
        </w:tc>
        <w:tc>
          <w:tcPr>
            <w:tcW w:w="1129" w:type="dxa"/>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21</w:t>
            </w:r>
          </w:p>
        </w:tc>
      </w:tr>
      <w:tr w:rsidR="00146DB7" w:rsidRPr="00FE454A" w:rsidTr="009716CF">
        <w:tc>
          <w:tcPr>
            <w:tcW w:w="704" w:type="dxa"/>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t></w:t>
            </w:r>
            <w:r w:rsidRPr="00FE454A">
              <w:rPr>
                <w:rFonts w:eastAsiaTheme="minorHAnsi" w:cstheme="minorBidi"/>
                <w:sz w:val="22"/>
                <w:szCs w:val="22"/>
              </w:rPr>
              <w:t></w:t>
            </w:r>
          </w:p>
        </w:tc>
        <w:tc>
          <w:tcPr>
            <w:tcW w:w="7229" w:type="dxa"/>
          </w:tcPr>
          <w:p w:rsidR="00146DB7" w:rsidRPr="00057CAF" w:rsidRDefault="00146DB7" w:rsidP="00146DB7">
            <w:pPr>
              <w:rPr>
                <w:rFonts w:eastAsiaTheme="minorHAnsi" w:cstheme="minorBidi"/>
                <w:sz w:val="22"/>
                <w:szCs w:val="22"/>
                <w:lang w:val="fr-FR"/>
              </w:rPr>
            </w:pPr>
            <w:r w:rsidRPr="00057CAF">
              <w:rPr>
                <w:rFonts w:eastAsiaTheme="minorHAnsi" w:cstheme="minorBidi"/>
                <w:sz w:val="22"/>
                <w:szCs w:val="22"/>
                <w:lang w:val="fr-FR"/>
              </w:rPr>
              <w:t xml:space="preserve">La variation de stock d’azote dans le sol est estimée à -1,5 kT (diminution) en 2011-2013 (ICEW, 2014, selon </w:t>
            </w:r>
            <w:proofErr w:type="spellStart"/>
            <w:r w:rsidRPr="00057CAF">
              <w:rPr>
                <w:rFonts w:eastAsiaTheme="minorHAnsi" w:cstheme="minorBidi"/>
                <w:sz w:val="22"/>
                <w:szCs w:val="22"/>
                <w:lang w:val="fr-FR"/>
              </w:rPr>
              <w:t>ULg</w:t>
            </w:r>
            <w:proofErr w:type="spellEnd"/>
            <w:r w:rsidRPr="00057CAF">
              <w:rPr>
                <w:rFonts w:eastAsiaTheme="minorHAnsi" w:cstheme="minorBidi"/>
                <w:sz w:val="22"/>
                <w:szCs w:val="22"/>
                <w:lang w:val="fr-FR"/>
              </w:rPr>
              <w:t xml:space="preserve"> </w:t>
            </w:r>
            <w:proofErr w:type="spellStart"/>
            <w:r w:rsidRPr="00057CAF">
              <w:rPr>
                <w:rFonts w:eastAsiaTheme="minorHAnsi" w:cstheme="minorBidi"/>
                <w:sz w:val="22"/>
                <w:szCs w:val="22"/>
                <w:lang w:val="fr-FR"/>
              </w:rPr>
              <w:t>GxABT</w:t>
            </w:r>
            <w:proofErr w:type="spellEnd"/>
            <w:r w:rsidRPr="00057CAF">
              <w:rPr>
                <w:rFonts w:eastAsiaTheme="minorHAnsi" w:cstheme="minorBidi"/>
                <w:sz w:val="22"/>
                <w:szCs w:val="22"/>
                <w:lang w:val="fr-FR"/>
              </w:rPr>
              <w:t xml:space="preserve"> - Unité Systèmes </w:t>
            </w:r>
            <w:proofErr w:type="spellStart"/>
            <w:r w:rsidRPr="00057CAF">
              <w:rPr>
                <w:rFonts w:eastAsiaTheme="minorHAnsi" w:cstheme="minorBidi"/>
                <w:sz w:val="22"/>
                <w:szCs w:val="22"/>
                <w:lang w:val="fr-FR"/>
              </w:rPr>
              <w:t>Sol-eau</w:t>
            </w:r>
            <w:proofErr w:type="spellEnd"/>
            <w:r w:rsidRPr="00057CAF">
              <w:rPr>
                <w:rFonts w:eastAsiaTheme="minorHAnsi" w:cstheme="minorBidi"/>
                <w:sz w:val="22"/>
                <w:szCs w:val="22"/>
                <w:lang w:val="fr-FR"/>
              </w:rPr>
              <w:t xml:space="preserve"> (modèle </w:t>
            </w:r>
            <w:proofErr w:type="spellStart"/>
            <w:r w:rsidRPr="00057CAF">
              <w:rPr>
                <w:rFonts w:eastAsiaTheme="minorHAnsi" w:cstheme="minorBidi"/>
                <w:sz w:val="22"/>
                <w:szCs w:val="22"/>
                <w:lang w:val="fr-FR"/>
              </w:rPr>
              <w:t>EPICgrid</w:t>
            </w:r>
            <w:proofErr w:type="spellEnd"/>
            <w:r w:rsidRPr="00057CAF">
              <w:rPr>
                <w:rFonts w:eastAsiaTheme="minorHAnsi" w:cstheme="minorBidi"/>
                <w:sz w:val="22"/>
                <w:szCs w:val="22"/>
                <w:lang w:val="fr-FR"/>
              </w:rPr>
              <w:t>)</w:t>
            </w:r>
          </w:p>
        </w:tc>
        <w:tc>
          <w:tcPr>
            <w:tcW w:w="1129" w:type="dxa"/>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-1,5</w:t>
            </w:r>
          </w:p>
        </w:tc>
      </w:tr>
      <w:tr w:rsidR="00146DB7" w:rsidRPr="00FE454A" w:rsidTr="009716CF">
        <w:tc>
          <w:tcPr>
            <w:tcW w:w="704" w:type="dxa"/>
          </w:tcPr>
          <w:p w:rsidR="00146DB7" w:rsidRPr="00FE454A" w:rsidRDefault="00146DB7" w:rsidP="00146DB7">
            <w:pPr>
              <w:rPr>
                <w:rFonts w:eastAsiaTheme="minorHAnsi" w:cstheme="minorBidi"/>
                <w:sz w:val="22"/>
                <w:szCs w:val="22"/>
              </w:rPr>
            </w:pPr>
            <w:r w:rsidRPr="00FE454A">
              <w:rPr>
                <w:rFonts w:eastAsiaTheme="minorHAnsi" w:cstheme="minorBidi"/>
                <w:sz w:val="22"/>
                <w:szCs w:val="22"/>
              </w:rPr>
              <w:lastRenderedPageBreak/>
              <w:t></w:t>
            </w:r>
            <w:r w:rsidRPr="00FE454A">
              <w:rPr>
                <w:rFonts w:eastAsiaTheme="minorHAnsi" w:cstheme="minorHAnsi"/>
                <w:sz w:val="22"/>
                <w:szCs w:val="22"/>
              </w:rPr>
              <w:t>’</w:t>
            </w:r>
          </w:p>
        </w:tc>
        <w:tc>
          <w:tcPr>
            <w:tcW w:w="7229" w:type="dxa"/>
          </w:tcPr>
          <w:p w:rsidR="00146DB7" w:rsidRPr="00FE454A" w:rsidRDefault="00146DB7" w:rsidP="00467012">
            <w:pPr>
              <w:rPr>
                <w:rFonts w:eastAsiaTheme="minorHAnsi" w:cstheme="minorBidi"/>
                <w:sz w:val="22"/>
                <w:szCs w:val="22"/>
              </w:rPr>
            </w:pPr>
            <w:r w:rsidRPr="00057CAF">
              <w:rPr>
                <w:rFonts w:eastAsiaTheme="minorHAnsi" w:cstheme="minorBidi"/>
                <w:sz w:val="22"/>
                <w:szCs w:val="22"/>
                <w:lang w:val="fr-FR"/>
              </w:rPr>
              <w:t xml:space="preserve">Le déclin du cheptel bovin est de 18 000 têtes/an (moyenne sur 10 ans d’après les rapports </w:t>
            </w:r>
            <w:proofErr w:type="spellStart"/>
            <w:r w:rsidRPr="00057CAF">
              <w:rPr>
                <w:rFonts w:eastAsiaTheme="minorHAnsi" w:cstheme="minorBidi"/>
                <w:sz w:val="22"/>
                <w:szCs w:val="22"/>
                <w:lang w:val="fr-FR"/>
              </w:rPr>
              <w:t>D</w:t>
            </w:r>
            <w:r w:rsidR="00467012" w:rsidRPr="00057CAF">
              <w:rPr>
                <w:rFonts w:eastAsiaTheme="minorHAnsi" w:cstheme="minorBidi"/>
                <w:sz w:val="22"/>
                <w:szCs w:val="22"/>
                <w:lang w:val="fr-FR"/>
              </w:rPr>
              <w:t>g</w:t>
            </w:r>
            <w:r w:rsidRPr="00057CAF">
              <w:rPr>
                <w:rFonts w:eastAsiaTheme="minorHAnsi" w:cstheme="minorBidi"/>
                <w:sz w:val="22"/>
                <w:szCs w:val="22"/>
                <w:lang w:val="fr-FR"/>
              </w:rPr>
              <w:t>oARNE</w:t>
            </w:r>
            <w:proofErr w:type="spellEnd"/>
            <w:r w:rsidRPr="00057CAF">
              <w:rPr>
                <w:rFonts w:eastAsiaTheme="minorHAnsi" w:cstheme="minorBidi"/>
                <w:sz w:val="22"/>
                <w:szCs w:val="22"/>
                <w:lang w:val="fr-FR"/>
              </w:rPr>
              <w:t xml:space="preserve"> sur l’évolution de l’agriculture wallonne). </w:t>
            </w:r>
            <w:proofErr w:type="spellStart"/>
            <w:r w:rsidRPr="00FE454A">
              <w:rPr>
                <w:rFonts w:eastAsiaTheme="minorHAnsi" w:cstheme="minorBidi"/>
                <w:sz w:val="22"/>
                <w:szCs w:val="22"/>
              </w:rPr>
              <w:t>Ceci</w:t>
            </w:r>
            <w:proofErr w:type="spellEnd"/>
            <w:r w:rsidRPr="00FE454A">
              <w:rPr>
                <w:rFonts w:eastAsiaTheme="minorHAnsi" w:cstheme="minorBidi"/>
                <w:sz w:val="22"/>
                <w:szCs w:val="22"/>
              </w:rPr>
              <w:t xml:space="preserve"> correspond à </w:t>
            </w:r>
            <w:proofErr w:type="spellStart"/>
            <w:r w:rsidRPr="00FE454A">
              <w:rPr>
                <w:rFonts w:eastAsiaTheme="minorHAnsi" w:cstheme="minorBidi"/>
                <w:sz w:val="22"/>
                <w:szCs w:val="22"/>
              </w:rPr>
              <w:t>près</w:t>
            </w:r>
            <w:proofErr w:type="spellEnd"/>
            <w:r w:rsidRPr="00FE454A">
              <w:rPr>
                <w:rFonts w:eastAsiaTheme="minorHAnsi" w:cstheme="minorBidi"/>
                <w:sz w:val="22"/>
                <w:szCs w:val="22"/>
              </w:rPr>
              <w:t xml:space="preserve"> de -0,3 </w:t>
            </w:r>
            <w:proofErr w:type="spellStart"/>
            <w:r w:rsidRPr="00FE454A">
              <w:rPr>
                <w:rFonts w:eastAsiaTheme="minorHAnsi" w:cstheme="minorBidi"/>
                <w:sz w:val="22"/>
                <w:szCs w:val="22"/>
              </w:rPr>
              <w:t>kT</w:t>
            </w:r>
            <w:proofErr w:type="spellEnd"/>
            <w:r w:rsidRPr="00FE454A">
              <w:rPr>
                <w:rFonts w:eastAsiaTheme="minorHAnsi" w:cstheme="minorBidi"/>
                <w:sz w:val="22"/>
                <w:szCs w:val="22"/>
              </w:rPr>
              <w:t xml:space="preserve"> N.</w:t>
            </w:r>
          </w:p>
        </w:tc>
        <w:tc>
          <w:tcPr>
            <w:tcW w:w="1129" w:type="dxa"/>
          </w:tcPr>
          <w:p w:rsidR="00146DB7" w:rsidRPr="00FE454A" w:rsidRDefault="00146DB7" w:rsidP="00146DB7">
            <w:pPr>
              <w:jc w:val="center"/>
              <w:rPr>
                <w:rFonts w:eastAsiaTheme="minorHAnsi" w:cstheme="minorBidi"/>
                <w:sz w:val="22"/>
                <w:szCs w:val="22"/>
              </w:rPr>
            </w:pPr>
            <w:r w:rsidRPr="00FE454A">
              <w:rPr>
                <w:rFonts w:eastAsiaTheme="minorHAnsi" w:cstheme="minorBidi"/>
                <w:sz w:val="22"/>
                <w:szCs w:val="22"/>
              </w:rPr>
              <w:t>-0,3</w:t>
            </w:r>
          </w:p>
        </w:tc>
      </w:tr>
    </w:tbl>
    <w:p w:rsidR="00146DB7" w:rsidRPr="00146DB7" w:rsidRDefault="00146DB7" w:rsidP="00146DB7">
      <w:pPr>
        <w:spacing w:after="160" w:line="259" w:lineRule="auto"/>
        <w:jc w:val="left"/>
        <w:rPr>
          <w:rFonts w:eastAsiaTheme="minorHAnsi" w:cstheme="minorBidi"/>
          <w:szCs w:val="22"/>
        </w:rPr>
      </w:pPr>
    </w:p>
    <w:p w:rsidR="00146DB7" w:rsidRPr="00057CAF" w:rsidRDefault="00146DB7" w:rsidP="00146DB7">
      <w:pPr>
        <w:spacing w:after="160"/>
        <w:rPr>
          <w:rFonts w:eastAsiaTheme="minorHAnsi" w:cstheme="minorBidi"/>
          <w:szCs w:val="22"/>
          <w:lang w:val="fr-FR"/>
        </w:rPr>
      </w:pPr>
      <w:r w:rsidRPr="00057CAF">
        <w:rPr>
          <w:rFonts w:eastAsiaTheme="minorHAnsi" w:cstheme="minorBidi"/>
          <w:szCs w:val="22"/>
          <w:lang w:val="fr-FR"/>
        </w:rPr>
        <w:t xml:space="preserve">Les quantités estimées sont bien entendu fort incertaines. Pour autant qu’elles soient considérées avec précaution cette analyse peut au moins servir de support à la réflexion sur les effets du PDR. </w:t>
      </w:r>
    </w:p>
    <w:p w:rsidR="00146DB7" w:rsidRPr="00057CAF" w:rsidRDefault="00146DB7" w:rsidP="00FE454A">
      <w:pPr>
        <w:pStyle w:val="Titre2"/>
        <w:rPr>
          <w:rFonts w:eastAsiaTheme="minorHAnsi"/>
          <w:lang w:val="fr-FR"/>
        </w:rPr>
      </w:pPr>
      <w:bookmarkStart w:id="105" w:name="_Toc11333819"/>
      <w:bookmarkStart w:id="106" w:name="_Toc25688791"/>
      <w:r w:rsidRPr="00057CAF">
        <w:rPr>
          <w:rFonts w:eastAsiaTheme="minorHAnsi"/>
          <w:lang w:val="fr-FR"/>
        </w:rPr>
        <w:t>Influences du PDR sur les flux de sortie vers l’environnement</w:t>
      </w:r>
      <w:bookmarkEnd w:id="105"/>
      <w:bookmarkEnd w:id="106"/>
    </w:p>
    <w:p w:rsidR="00146DB7" w:rsidRPr="00057CAF" w:rsidRDefault="00146DB7" w:rsidP="00146DB7">
      <w:pPr>
        <w:spacing w:after="160"/>
        <w:rPr>
          <w:rFonts w:eastAsiaTheme="minorHAnsi" w:cstheme="minorBidi"/>
          <w:szCs w:val="22"/>
          <w:lang w:val="fr-FR"/>
        </w:rPr>
      </w:pPr>
      <w:r w:rsidRPr="00057CAF">
        <w:rPr>
          <w:rFonts w:eastAsiaTheme="minorHAnsi" w:cstheme="minorBidi"/>
          <w:szCs w:val="22"/>
          <w:lang w:val="fr-FR"/>
        </w:rPr>
        <w:t xml:space="preserve">Deux niveaux de sortie vers l’environnement (fuite) peuvent être distingués : les fuites à partir des animaux ou des effluents (avant utilisation comme engrais) et celles à partir du sol. L’effet sur chaque flux de sortie est estimé d’après l’effet sur le flux d’entrée correspondant et sur un taux de fuite.  </w:t>
      </w:r>
    </w:p>
    <w:p w:rsidR="00146DB7" w:rsidRPr="00057CAF" w:rsidRDefault="00146DB7" w:rsidP="00146DB7">
      <w:pPr>
        <w:spacing w:after="160"/>
        <w:rPr>
          <w:rFonts w:eastAsiaTheme="minorHAnsi" w:cstheme="minorBidi"/>
          <w:szCs w:val="22"/>
          <w:lang w:val="fr-FR"/>
        </w:rPr>
      </w:pPr>
      <w:r w:rsidRPr="00057CAF">
        <w:rPr>
          <w:rFonts w:eastAsiaTheme="minorHAnsi" w:cstheme="minorBidi"/>
          <w:szCs w:val="22"/>
          <w:lang w:val="fr-FR"/>
        </w:rPr>
        <w:t>Les schémas suivants analysent les relations de causes à effet concernant ces deux niveaux.</w:t>
      </w:r>
    </w:p>
    <w:p w:rsidR="00146DB7" w:rsidRPr="00146DB7" w:rsidRDefault="00146DB7" w:rsidP="00146DB7">
      <w:pPr>
        <w:spacing w:after="160"/>
        <w:rPr>
          <w:rFonts w:eastAsiaTheme="minorHAnsi" w:cstheme="minorBidi"/>
          <w:szCs w:val="22"/>
        </w:rPr>
      </w:pPr>
      <w:r w:rsidRPr="00146DB7">
        <w:rPr>
          <w:rFonts w:eastAsiaTheme="minorHAnsi" w:cstheme="minorBidi"/>
          <w:noProof/>
          <w:szCs w:val="22"/>
          <w:lang w:val="fr-FR"/>
        </w:rPr>
        <w:drawing>
          <wp:inline distT="0" distB="0" distL="0" distR="0" wp14:anchorId="617A98C6" wp14:editId="3743BF91">
            <wp:extent cx="5760720" cy="32397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760720" cy="3239770"/>
                    </a:xfrm>
                    <a:prstGeom prst="rect">
                      <a:avLst/>
                    </a:prstGeom>
                  </pic:spPr>
                </pic:pic>
              </a:graphicData>
            </a:graphic>
          </wp:inline>
        </w:drawing>
      </w:r>
    </w:p>
    <w:p w:rsidR="00146DB7" w:rsidRPr="00146DB7" w:rsidRDefault="00146DB7" w:rsidP="00146DB7">
      <w:pPr>
        <w:spacing w:after="160"/>
        <w:rPr>
          <w:rFonts w:eastAsiaTheme="minorHAnsi" w:cstheme="minorBidi"/>
          <w:i/>
          <w:noProof/>
          <w:szCs w:val="22"/>
          <w:u w:val="single"/>
        </w:rPr>
      </w:pPr>
      <w:r w:rsidRPr="00146DB7">
        <w:rPr>
          <w:rFonts w:eastAsiaTheme="minorHAnsi" w:cstheme="minorBidi"/>
          <w:i/>
          <w:noProof/>
          <w:szCs w:val="22"/>
          <w:u w:val="single"/>
          <w:lang w:val="fr-FR"/>
        </w:rPr>
        <w:lastRenderedPageBreak/>
        <w:drawing>
          <wp:inline distT="0" distB="0" distL="0" distR="0" wp14:anchorId="3D18FD23" wp14:editId="02B3EAEE">
            <wp:extent cx="6096635" cy="34296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146DB7" w:rsidRPr="00057CAF" w:rsidRDefault="00146DB7" w:rsidP="00146DB7">
      <w:pPr>
        <w:spacing w:after="160"/>
        <w:rPr>
          <w:rFonts w:eastAsiaTheme="minorHAnsi" w:cstheme="minorBidi"/>
          <w:i/>
          <w:noProof/>
          <w:szCs w:val="22"/>
          <w:lang w:val="fr-FR"/>
        </w:rPr>
      </w:pPr>
      <w:r w:rsidRPr="00057CAF">
        <w:rPr>
          <w:rFonts w:eastAsiaTheme="minorHAnsi" w:cstheme="minorBidi"/>
          <w:i/>
          <w:noProof/>
          <w:szCs w:val="22"/>
          <w:u w:val="single"/>
          <w:lang w:val="fr-FR"/>
        </w:rPr>
        <w:t>Légende des flêches et aides à la lecture du schéma</w:t>
      </w:r>
      <w:r w:rsidRPr="00057CAF">
        <w:rPr>
          <w:rFonts w:eastAsiaTheme="minorHAnsi" w:cstheme="minorBidi"/>
          <w:i/>
          <w:noProof/>
          <w:szCs w:val="22"/>
          <w:lang w:val="fr-FR"/>
        </w:rPr>
        <w:t xml:space="preserve"> : les flêches sans signe indiquent une relation positive, celles (en rouge) avec le signe moins (-) indiquent une relation négative ; une relation est dite positive ou négative au sens mathématique du terme, sans connotation méliorative ou péjorative ;  dans le cas de relations de cause à effet indirectes, la conséquence est négative si un nombre impair de relations négatives les relie sur une même série. </w:t>
      </w:r>
    </w:p>
    <w:p w:rsidR="00146DB7" w:rsidRPr="00057CAF" w:rsidRDefault="00146DB7" w:rsidP="00146DB7">
      <w:pPr>
        <w:spacing w:after="160"/>
        <w:rPr>
          <w:rFonts w:eastAsiaTheme="minorHAnsi" w:cstheme="minorBidi"/>
          <w:szCs w:val="22"/>
          <w:lang w:val="fr-FR"/>
        </w:rPr>
      </w:pPr>
      <w:r w:rsidRPr="00057CAF">
        <w:rPr>
          <w:rFonts w:eastAsiaTheme="minorHAnsi" w:cstheme="minorBidi"/>
          <w:szCs w:val="22"/>
          <w:lang w:val="fr-FR"/>
        </w:rPr>
        <w:t xml:space="preserve">Sur ces bases, le tableau ci-dessous récapitule les effets des diverses mesures du PDR </w:t>
      </w:r>
    </w:p>
    <w:tbl>
      <w:tblPr>
        <w:tblStyle w:val="Grilledutableau10"/>
        <w:tblW w:w="9067" w:type="dxa"/>
        <w:tblLayout w:type="fixed"/>
        <w:tblLook w:val="04A0" w:firstRow="1" w:lastRow="0" w:firstColumn="1" w:lastColumn="0" w:noHBand="0" w:noVBand="1"/>
      </w:tblPr>
      <w:tblGrid>
        <w:gridCol w:w="2547"/>
        <w:gridCol w:w="992"/>
        <w:gridCol w:w="992"/>
        <w:gridCol w:w="709"/>
        <w:gridCol w:w="992"/>
        <w:gridCol w:w="993"/>
        <w:gridCol w:w="850"/>
        <w:gridCol w:w="992"/>
      </w:tblGrid>
      <w:tr w:rsidR="00146DB7" w:rsidRPr="00403050" w:rsidTr="009716CF">
        <w:trPr>
          <w:trHeight w:val="218"/>
        </w:trPr>
        <w:tc>
          <w:tcPr>
            <w:tcW w:w="2547" w:type="dxa"/>
            <w:vMerge w:val="restart"/>
          </w:tcPr>
          <w:p w:rsidR="00146DB7" w:rsidRPr="00146DB7" w:rsidRDefault="00146DB7" w:rsidP="00146DB7">
            <w:pPr>
              <w:rPr>
                <w:rFonts w:cstheme="minorHAnsi"/>
                <w:b/>
                <w:color w:val="000000"/>
              </w:rPr>
            </w:pPr>
            <w:proofErr w:type="spellStart"/>
            <w:r w:rsidRPr="00146DB7">
              <w:rPr>
                <w:rFonts w:cstheme="minorHAnsi"/>
                <w:b/>
                <w:color w:val="000000"/>
              </w:rPr>
              <w:t>Mesure</w:t>
            </w:r>
            <w:proofErr w:type="spellEnd"/>
          </w:p>
        </w:tc>
        <w:tc>
          <w:tcPr>
            <w:tcW w:w="2693" w:type="dxa"/>
            <w:gridSpan w:val="3"/>
          </w:tcPr>
          <w:p w:rsidR="00146DB7" w:rsidRPr="00146DB7" w:rsidRDefault="00146DB7" w:rsidP="00146DB7">
            <w:pPr>
              <w:jc w:val="center"/>
              <w:rPr>
                <w:rFonts w:cstheme="minorHAnsi"/>
                <w:b/>
                <w:color w:val="000000"/>
              </w:rPr>
            </w:pPr>
            <w:proofErr w:type="spellStart"/>
            <w:r w:rsidRPr="00146DB7">
              <w:rPr>
                <w:rFonts w:cstheme="minorHAnsi"/>
                <w:b/>
                <w:color w:val="000000"/>
              </w:rPr>
              <w:t>Animaux</w:t>
            </w:r>
            <w:proofErr w:type="spellEnd"/>
            <w:r w:rsidRPr="00146DB7">
              <w:rPr>
                <w:rFonts w:cstheme="minorHAnsi"/>
                <w:b/>
                <w:color w:val="000000"/>
              </w:rPr>
              <w:t xml:space="preserve"> - effluents</w:t>
            </w:r>
          </w:p>
        </w:tc>
        <w:tc>
          <w:tcPr>
            <w:tcW w:w="2835" w:type="dxa"/>
            <w:gridSpan w:val="3"/>
          </w:tcPr>
          <w:p w:rsidR="00146DB7" w:rsidRPr="00146DB7" w:rsidRDefault="00146DB7" w:rsidP="00146DB7">
            <w:pPr>
              <w:jc w:val="center"/>
              <w:rPr>
                <w:rFonts w:cstheme="minorHAnsi"/>
                <w:b/>
                <w:color w:val="000000"/>
              </w:rPr>
            </w:pPr>
            <w:r w:rsidRPr="00146DB7">
              <w:rPr>
                <w:rFonts w:cstheme="minorHAnsi"/>
                <w:b/>
                <w:color w:val="000000"/>
              </w:rPr>
              <w:t>Sol</w:t>
            </w:r>
          </w:p>
        </w:tc>
        <w:tc>
          <w:tcPr>
            <w:tcW w:w="992" w:type="dxa"/>
            <w:vMerge w:val="restart"/>
          </w:tcPr>
          <w:p w:rsidR="00146DB7" w:rsidRPr="00057CAF" w:rsidRDefault="00146DB7" w:rsidP="00146DB7">
            <w:pPr>
              <w:jc w:val="center"/>
              <w:rPr>
                <w:rFonts w:cstheme="minorHAnsi"/>
                <w:b/>
                <w:color w:val="000000"/>
                <w:sz w:val="18"/>
                <w:lang w:val="fr-FR"/>
              </w:rPr>
            </w:pPr>
            <w:r w:rsidRPr="00057CAF">
              <w:rPr>
                <w:rFonts w:cstheme="minorHAnsi"/>
                <w:b/>
                <w:color w:val="000000"/>
                <w:sz w:val="18"/>
                <w:lang w:val="fr-FR"/>
              </w:rPr>
              <w:t>Pertes totales</w:t>
            </w:r>
          </w:p>
          <w:p w:rsidR="00146DB7" w:rsidRPr="00057CAF" w:rsidRDefault="00146DB7" w:rsidP="00146DB7">
            <w:pPr>
              <w:jc w:val="center"/>
              <w:rPr>
                <w:rFonts w:cstheme="minorHAnsi"/>
                <w:b/>
                <w:color w:val="000000"/>
                <w:lang w:val="fr-FR"/>
              </w:rPr>
            </w:pPr>
            <w:proofErr w:type="gramStart"/>
            <w:r w:rsidRPr="00057CAF">
              <w:rPr>
                <w:rFonts w:cstheme="minorHAnsi"/>
                <w:b/>
                <w:color w:val="000000"/>
                <w:sz w:val="18"/>
                <w:lang w:val="fr-FR"/>
              </w:rPr>
              <w:t>A.B+C.D</w:t>
            </w:r>
            <w:proofErr w:type="gramEnd"/>
          </w:p>
        </w:tc>
      </w:tr>
      <w:tr w:rsidR="00146DB7" w:rsidRPr="00146DB7" w:rsidTr="009716CF">
        <w:trPr>
          <w:trHeight w:val="218"/>
        </w:trPr>
        <w:tc>
          <w:tcPr>
            <w:tcW w:w="2547" w:type="dxa"/>
            <w:vMerge/>
          </w:tcPr>
          <w:p w:rsidR="00146DB7" w:rsidRPr="00057CAF" w:rsidRDefault="00146DB7" w:rsidP="00146DB7">
            <w:pPr>
              <w:rPr>
                <w:rFonts w:cstheme="minorHAnsi"/>
                <w:b/>
                <w:color w:val="000000"/>
                <w:lang w:val="fr-FR"/>
              </w:rPr>
            </w:pPr>
          </w:p>
        </w:tc>
        <w:tc>
          <w:tcPr>
            <w:tcW w:w="992" w:type="dxa"/>
          </w:tcPr>
          <w:p w:rsidR="00146DB7" w:rsidRPr="00146DB7" w:rsidRDefault="00146DB7" w:rsidP="00146DB7">
            <w:pPr>
              <w:jc w:val="center"/>
              <w:rPr>
                <w:rFonts w:cstheme="minorHAnsi"/>
                <w:b/>
                <w:color w:val="000000"/>
                <w:sz w:val="18"/>
              </w:rPr>
            </w:pPr>
            <w:r w:rsidRPr="00146DB7">
              <w:rPr>
                <w:rFonts w:cstheme="minorHAnsi"/>
                <w:b/>
                <w:color w:val="000000"/>
                <w:sz w:val="18"/>
              </w:rPr>
              <w:t>Ingestion</w:t>
            </w:r>
          </w:p>
          <w:p w:rsidR="00146DB7" w:rsidRPr="00146DB7" w:rsidRDefault="00146DB7" w:rsidP="00146DB7">
            <w:pPr>
              <w:jc w:val="center"/>
              <w:rPr>
                <w:rFonts w:cstheme="minorHAnsi"/>
                <w:b/>
                <w:color w:val="000000"/>
                <w:sz w:val="18"/>
              </w:rPr>
            </w:pPr>
            <w:r w:rsidRPr="00146DB7">
              <w:rPr>
                <w:rFonts w:cstheme="minorHAnsi"/>
                <w:b/>
                <w:color w:val="000000"/>
                <w:sz w:val="18"/>
              </w:rPr>
              <w:t>A</w:t>
            </w:r>
          </w:p>
        </w:tc>
        <w:tc>
          <w:tcPr>
            <w:tcW w:w="992" w:type="dxa"/>
          </w:tcPr>
          <w:p w:rsidR="00146DB7" w:rsidRPr="00146DB7" w:rsidRDefault="00146DB7" w:rsidP="00146DB7">
            <w:pPr>
              <w:jc w:val="center"/>
              <w:rPr>
                <w:rFonts w:cstheme="minorHAnsi"/>
                <w:b/>
                <w:color w:val="000000"/>
                <w:sz w:val="18"/>
              </w:rPr>
            </w:pPr>
            <w:r w:rsidRPr="00146DB7">
              <w:rPr>
                <w:rFonts w:cstheme="minorHAnsi"/>
                <w:b/>
                <w:color w:val="000000"/>
                <w:sz w:val="18"/>
              </w:rPr>
              <w:t xml:space="preserve">% </w:t>
            </w:r>
            <w:proofErr w:type="spellStart"/>
            <w:r w:rsidRPr="00146DB7">
              <w:rPr>
                <w:rFonts w:cstheme="minorHAnsi"/>
                <w:b/>
                <w:color w:val="000000"/>
                <w:sz w:val="18"/>
              </w:rPr>
              <w:t>pertes</w:t>
            </w:r>
            <w:proofErr w:type="spellEnd"/>
          </w:p>
          <w:p w:rsidR="00146DB7" w:rsidRPr="00146DB7" w:rsidRDefault="00146DB7" w:rsidP="00146DB7">
            <w:pPr>
              <w:jc w:val="center"/>
              <w:rPr>
                <w:rFonts w:cstheme="minorHAnsi"/>
                <w:b/>
                <w:color w:val="000000"/>
                <w:sz w:val="18"/>
              </w:rPr>
            </w:pPr>
            <w:r w:rsidRPr="00146DB7">
              <w:rPr>
                <w:rFonts w:cstheme="minorHAnsi"/>
                <w:b/>
                <w:color w:val="000000"/>
                <w:sz w:val="18"/>
              </w:rPr>
              <w:t>B</w:t>
            </w:r>
          </w:p>
        </w:tc>
        <w:tc>
          <w:tcPr>
            <w:tcW w:w="709" w:type="dxa"/>
          </w:tcPr>
          <w:p w:rsidR="00146DB7" w:rsidRPr="00146DB7" w:rsidRDefault="00146DB7" w:rsidP="00146DB7">
            <w:pPr>
              <w:jc w:val="center"/>
              <w:rPr>
                <w:rFonts w:cstheme="minorHAnsi"/>
                <w:b/>
                <w:color w:val="000000"/>
                <w:sz w:val="18"/>
              </w:rPr>
            </w:pPr>
            <w:proofErr w:type="spellStart"/>
            <w:r w:rsidRPr="00146DB7">
              <w:rPr>
                <w:rFonts w:cstheme="minorHAnsi"/>
                <w:b/>
                <w:color w:val="000000"/>
                <w:sz w:val="18"/>
              </w:rPr>
              <w:t>Pertes</w:t>
            </w:r>
            <w:proofErr w:type="spellEnd"/>
          </w:p>
          <w:p w:rsidR="00146DB7" w:rsidRPr="00146DB7" w:rsidRDefault="00146DB7" w:rsidP="00146DB7">
            <w:pPr>
              <w:jc w:val="center"/>
              <w:rPr>
                <w:rFonts w:cstheme="minorHAnsi"/>
                <w:b/>
                <w:color w:val="000000"/>
                <w:sz w:val="18"/>
              </w:rPr>
            </w:pPr>
            <w:proofErr w:type="gramStart"/>
            <w:r w:rsidRPr="00146DB7">
              <w:rPr>
                <w:rFonts w:cstheme="minorHAnsi"/>
                <w:b/>
                <w:color w:val="000000"/>
                <w:sz w:val="18"/>
              </w:rPr>
              <w:t>A.B</w:t>
            </w:r>
            <w:proofErr w:type="gramEnd"/>
          </w:p>
        </w:tc>
        <w:tc>
          <w:tcPr>
            <w:tcW w:w="992" w:type="dxa"/>
          </w:tcPr>
          <w:p w:rsidR="00146DB7" w:rsidRPr="00146DB7" w:rsidRDefault="00146DB7" w:rsidP="00146DB7">
            <w:pPr>
              <w:jc w:val="center"/>
              <w:rPr>
                <w:rFonts w:cstheme="minorHAnsi"/>
                <w:b/>
                <w:color w:val="000000"/>
                <w:sz w:val="18"/>
              </w:rPr>
            </w:pPr>
            <w:proofErr w:type="spellStart"/>
            <w:r w:rsidRPr="00146DB7">
              <w:rPr>
                <w:rFonts w:cstheme="minorHAnsi"/>
                <w:b/>
                <w:color w:val="000000"/>
                <w:sz w:val="18"/>
              </w:rPr>
              <w:t>Fertilisa-tion</w:t>
            </w:r>
            <w:proofErr w:type="spellEnd"/>
            <w:r w:rsidRPr="00146DB7">
              <w:rPr>
                <w:rFonts w:cstheme="minorHAnsi"/>
                <w:b/>
                <w:color w:val="000000"/>
                <w:sz w:val="18"/>
              </w:rPr>
              <w:t xml:space="preserve"> C</w:t>
            </w:r>
          </w:p>
        </w:tc>
        <w:tc>
          <w:tcPr>
            <w:tcW w:w="993" w:type="dxa"/>
          </w:tcPr>
          <w:p w:rsidR="00146DB7" w:rsidRPr="00146DB7" w:rsidRDefault="00146DB7" w:rsidP="00146DB7">
            <w:pPr>
              <w:jc w:val="center"/>
              <w:rPr>
                <w:rFonts w:cstheme="minorHAnsi"/>
                <w:b/>
                <w:color w:val="000000"/>
                <w:sz w:val="18"/>
              </w:rPr>
            </w:pPr>
            <w:r w:rsidRPr="00146DB7">
              <w:rPr>
                <w:rFonts w:cstheme="minorHAnsi"/>
                <w:b/>
                <w:color w:val="000000"/>
                <w:sz w:val="18"/>
              </w:rPr>
              <w:t xml:space="preserve">% </w:t>
            </w:r>
            <w:proofErr w:type="spellStart"/>
            <w:r w:rsidRPr="00146DB7">
              <w:rPr>
                <w:rFonts w:cstheme="minorHAnsi"/>
                <w:b/>
                <w:color w:val="000000"/>
                <w:sz w:val="18"/>
              </w:rPr>
              <w:t>pertes</w:t>
            </w:r>
            <w:proofErr w:type="spellEnd"/>
          </w:p>
          <w:p w:rsidR="00146DB7" w:rsidRPr="00146DB7" w:rsidRDefault="00146DB7" w:rsidP="00146DB7">
            <w:pPr>
              <w:jc w:val="center"/>
              <w:rPr>
                <w:rFonts w:cstheme="minorHAnsi"/>
                <w:b/>
                <w:color w:val="000000"/>
                <w:sz w:val="18"/>
              </w:rPr>
            </w:pPr>
            <w:r w:rsidRPr="00146DB7">
              <w:rPr>
                <w:rFonts w:cstheme="minorHAnsi"/>
                <w:b/>
                <w:color w:val="000000"/>
                <w:sz w:val="18"/>
              </w:rPr>
              <w:t>D</w:t>
            </w:r>
          </w:p>
        </w:tc>
        <w:tc>
          <w:tcPr>
            <w:tcW w:w="850" w:type="dxa"/>
          </w:tcPr>
          <w:p w:rsidR="00146DB7" w:rsidRPr="00146DB7" w:rsidRDefault="00146DB7" w:rsidP="00146DB7">
            <w:pPr>
              <w:jc w:val="center"/>
              <w:rPr>
                <w:rFonts w:cstheme="minorHAnsi"/>
                <w:b/>
                <w:color w:val="000000"/>
                <w:sz w:val="18"/>
              </w:rPr>
            </w:pPr>
            <w:proofErr w:type="spellStart"/>
            <w:r w:rsidRPr="00146DB7">
              <w:rPr>
                <w:rFonts w:cstheme="minorHAnsi"/>
                <w:b/>
                <w:color w:val="000000"/>
                <w:sz w:val="18"/>
              </w:rPr>
              <w:t>Pertes</w:t>
            </w:r>
            <w:proofErr w:type="spellEnd"/>
          </w:p>
          <w:p w:rsidR="00146DB7" w:rsidRPr="00146DB7" w:rsidRDefault="00146DB7" w:rsidP="00146DB7">
            <w:pPr>
              <w:jc w:val="center"/>
              <w:rPr>
                <w:rFonts w:cstheme="minorHAnsi"/>
                <w:b/>
                <w:color w:val="000000"/>
                <w:sz w:val="18"/>
              </w:rPr>
            </w:pPr>
            <w:r w:rsidRPr="00146DB7">
              <w:rPr>
                <w:rFonts w:cstheme="minorHAnsi"/>
                <w:b/>
                <w:color w:val="000000"/>
                <w:sz w:val="18"/>
              </w:rPr>
              <w:t>C.D</w:t>
            </w:r>
          </w:p>
        </w:tc>
        <w:tc>
          <w:tcPr>
            <w:tcW w:w="992" w:type="dxa"/>
            <w:vMerge/>
          </w:tcPr>
          <w:p w:rsidR="00146DB7" w:rsidRPr="00146DB7" w:rsidRDefault="00146DB7" w:rsidP="00146DB7">
            <w:pPr>
              <w:rPr>
                <w:rFonts w:cstheme="minorHAnsi"/>
                <w:b/>
                <w:color w:val="000000"/>
              </w:rPr>
            </w:pPr>
          </w:p>
        </w:tc>
      </w:tr>
      <w:tr w:rsidR="00146DB7" w:rsidRPr="00146DB7" w:rsidTr="009716CF">
        <w:trPr>
          <w:trHeight w:val="218"/>
        </w:trPr>
        <w:tc>
          <w:tcPr>
            <w:tcW w:w="2547" w:type="dxa"/>
          </w:tcPr>
          <w:p w:rsidR="00146DB7" w:rsidRPr="00146DB7" w:rsidRDefault="00146DB7" w:rsidP="00146DB7">
            <w:pPr>
              <w:rPr>
                <w:rFonts w:cstheme="minorHAnsi"/>
                <w:color w:val="000000"/>
              </w:rPr>
            </w:pPr>
            <w:r w:rsidRPr="00146DB7">
              <w:rPr>
                <w:rFonts w:cstheme="minorHAnsi"/>
                <w:color w:val="000000"/>
              </w:rPr>
              <w:t>M1.2-élevage</w:t>
            </w: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709" w:type="dxa"/>
            <w:shd w:val="clear" w:color="auto" w:fill="FFFF00"/>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993"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850" w:type="dxa"/>
            <w:shd w:val="clear" w:color="auto" w:fill="FFFF00"/>
          </w:tcPr>
          <w:p w:rsidR="00146DB7" w:rsidRPr="00146DB7" w:rsidRDefault="00146DB7" w:rsidP="00146DB7">
            <w:pPr>
              <w:jc w:val="center"/>
              <w:rPr>
                <w:color w:val="000000"/>
              </w:rPr>
            </w:pPr>
            <w:r w:rsidRPr="00146DB7">
              <w:rPr>
                <w:rFonts w:cstheme="minorHAnsi"/>
                <w:color w:val="000000"/>
              </w:rPr>
              <w:t>+/-</w:t>
            </w:r>
          </w:p>
        </w:tc>
        <w:tc>
          <w:tcPr>
            <w:tcW w:w="992" w:type="dxa"/>
            <w:shd w:val="clear" w:color="auto" w:fill="FFFF00"/>
          </w:tcPr>
          <w:p w:rsidR="00146DB7" w:rsidRPr="00146DB7" w:rsidRDefault="00146DB7" w:rsidP="00146DB7">
            <w:pPr>
              <w:jc w:val="center"/>
              <w:rPr>
                <w:color w:val="000000"/>
              </w:rPr>
            </w:pPr>
            <w:r w:rsidRPr="00146DB7">
              <w:rPr>
                <w:color w:val="000000"/>
              </w:rPr>
              <w:t>+/-</w:t>
            </w:r>
          </w:p>
        </w:tc>
      </w:tr>
      <w:tr w:rsidR="00146DB7" w:rsidRPr="00146DB7" w:rsidTr="009716CF">
        <w:trPr>
          <w:trHeight w:val="225"/>
        </w:trPr>
        <w:tc>
          <w:tcPr>
            <w:tcW w:w="2547" w:type="dxa"/>
          </w:tcPr>
          <w:p w:rsidR="00146DB7" w:rsidRPr="00146DB7" w:rsidRDefault="00146DB7" w:rsidP="00146DB7">
            <w:pPr>
              <w:rPr>
                <w:rFonts w:cstheme="minorHAnsi"/>
                <w:color w:val="000000"/>
              </w:rPr>
            </w:pPr>
            <w:r w:rsidRPr="00146DB7">
              <w:rPr>
                <w:rFonts w:cstheme="minorHAnsi"/>
                <w:color w:val="000000"/>
              </w:rPr>
              <w:t xml:space="preserve">M4.1-matériel </w:t>
            </w:r>
            <w:proofErr w:type="spellStart"/>
            <w:r w:rsidRPr="00146DB7">
              <w:rPr>
                <w:rFonts w:cstheme="minorHAnsi"/>
                <w:color w:val="000000"/>
              </w:rPr>
              <w:t>d’épandage</w:t>
            </w:r>
            <w:proofErr w:type="spellEnd"/>
          </w:p>
        </w:tc>
        <w:tc>
          <w:tcPr>
            <w:tcW w:w="992" w:type="dxa"/>
            <w:shd w:val="clear" w:color="auto" w:fill="auto"/>
          </w:tcPr>
          <w:p w:rsidR="00146DB7" w:rsidRPr="00146DB7" w:rsidRDefault="00146DB7" w:rsidP="00146DB7">
            <w:pPr>
              <w:jc w:val="center"/>
              <w:rPr>
                <w:rFonts w:cstheme="minorHAnsi"/>
                <w:color w:val="000000"/>
              </w:rPr>
            </w:pP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709" w:type="dxa"/>
            <w:shd w:val="clear" w:color="auto" w:fill="00FF00"/>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993"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850" w:type="dxa"/>
            <w:shd w:val="clear" w:color="auto" w:fill="00FF00"/>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00FF00"/>
          </w:tcPr>
          <w:p w:rsidR="00146DB7" w:rsidRPr="00146DB7" w:rsidRDefault="00146DB7" w:rsidP="00146DB7">
            <w:pPr>
              <w:jc w:val="center"/>
              <w:rPr>
                <w:rFonts w:cstheme="minorHAnsi"/>
                <w:color w:val="000000"/>
              </w:rPr>
            </w:pPr>
            <w:r w:rsidRPr="00146DB7">
              <w:rPr>
                <w:rFonts w:cstheme="minorHAnsi"/>
                <w:color w:val="000000"/>
              </w:rPr>
              <w:t>-</w:t>
            </w:r>
          </w:p>
        </w:tc>
      </w:tr>
      <w:tr w:rsidR="00146DB7" w:rsidRPr="00146DB7" w:rsidTr="009716CF">
        <w:trPr>
          <w:trHeight w:val="257"/>
        </w:trPr>
        <w:tc>
          <w:tcPr>
            <w:tcW w:w="2547" w:type="dxa"/>
          </w:tcPr>
          <w:p w:rsidR="00146DB7" w:rsidRPr="00146DB7" w:rsidRDefault="00146DB7" w:rsidP="00146DB7">
            <w:pPr>
              <w:rPr>
                <w:rFonts w:cstheme="minorHAnsi"/>
                <w:color w:val="000000"/>
              </w:rPr>
            </w:pPr>
            <w:r w:rsidRPr="00146DB7">
              <w:rPr>
                <w:rFonts w:cstheme="minorHAnsi"/>
                <w:color w:val="000000"/>
              </w:rPr>
              <w:t xml:space="preserve">M4.1-équipements </w:t>
            </w:r>
            <w:proofErr w:type="spellStart"/>
            <w:r w:rsidRPr="00146DB7">
              <w:rPr>
                <w:rFonts w:cstheme="minorHAnsi"/>
                <w:color w:val="000000"/>
              </w:rPr>
              <w:t>d’élevage</w:t>
            </w:r>
            <w:proofErr w:type="spellEnd"/>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709" w:type="dxa"/>
            <w:shd w:val="clear" w:color="auto" w:fill="FFFF00"/>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993"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850" w:type="dxa"/>
            <w:shd w:val="clear" w:color="auto" w:fill="FFFF00"/>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FFFF00"/>
          </w:tcPr>
          <w:p w:rsidR="00146DB7" w:rsidRPr="00146DB7" w:rsidRDefault="00146DB7" w:rsidP="00146DB7">
            <w:pPr>
              <w:jc w:val="center"/>
              <w:rPr>
                <w:rFonts w:cstheme="minorHAnsi"/>
                <w:color w:val="000000"/>
              </w:rPr>
            </w:pPr>
            <w:r w:rsidRPr="00146DB7">
              <w:rPr>
                <w:rFonts w:cstheme="minorHAnsi"/>
                <w:color w:val="000000"/>
              </w:rPr>
              <w:t>+/-</w:t>
            </w:r>
          </w:p>
        </w:tc>
      </w:tr>
      <w:tr w:rsidR="00146DB7" w:rsidRPr="00146DB7" w:rsidTr="009716CF">
        <w:trPr>
          <w:trHeight w:val="261"/>
        </w:trPr>
        <w:tc>
          <w:tcPr>
            <w:tcW w:w="2547" w:type="dxa"/>
          </w:tcPr>
          <w:p w:rsidR="00146DB7" w:rsidRPr="00146DB7" w:rsidRDefault="00146DB7" w:rsidP="00146DB7">
            <w:pPr>
              <w:rPr>
                <w:rFonts w:cstheme="minorHAnsi"/>
                <w:color w:val="000000"/>
              </w:rPr>
            </w:pPr>
            <w:r w:rsidRPr="00146DB7">
              <w:rPr>
                <w:rFonts w:cstheme="minorHAnsi"/>
                <w:color w:val="000000"/>
              </w:rPr>
              <w:t>M4.1-méthanisation</w:t>
            </w:r>
          </w:p>
        </w:tc>
        <w:tc>
          <w:tcPr>
            <w:tcW w:w="992" w:type="dxa"/>
            <w:shd w:val="clear" w:color="auto" w:fill="auto"/>
          </w:tcPr>
          <w:p w:rsidR="00146DB7" w:rsidRPr="00146DB7" w:rsidRDefault="00146DB7" w:rsidP="00146DB7">
            <w:pPr>
              <w:jc w:val="center"/>
              <w:rPr>
                <w:rFonts w:cstheme="minorHAnsi"/>
                <w:color w:val="000000"/>
              </w:rPr>
            </w:pPr>
          </w:p>
        </w:tc>
        <w:tc>
          <w:tcPr>
            <w:tcW w:w="992" w:type="dxa"/>
            <w:shd w:val="clear" w:color="auto" w:fill="auto"/>
          </w:tcPr>
          <w:p w:rsidR="00146DB7" w:rsidRPr="00146DB7" w:rsidRDefault="00146DB7" w:rsidP="00146DB7">
            <w:pPr>
              <w:jc w:val="center"/>
              <w:rPr>
                <w:rFonts w:cstheme="minorHAnsi"/>
                <w:color w:val="000000"/>
              </w:rPr>
            </w:pPr>
          </w:p>
        </w:tc>
        <w:tc>
          <w:tcPr>
            <w:tcW w:w="709" w:type="dxa"/>
          </w:tcPr>
          <w:p w:rsidR="00146DB7" w:rsidRPr="00146DB7" w:rsidRDefault="00146DB7" w:rsidP="00146DB7">
            <w:pPr>
              <w:jc w:val="center"/>
              <w:rPr>
                <w:rFonts w:cstheme="minorHAnsi"/>
                <w:color w:val="000000"/>
              </w:rPr>
            </w:pPr>
          </w:p>
        </w:tc>
        <w:tc>
          <w:tcPr>
            <w:tcW w:w="992" w:type="dxa"/>
            <w:shd w:val="clear" w:color="auto" w:fill="auto"/>
          </w:tcPr>
          <w:p w:rsidR="00146DB7" w:rsidRPr="00146DB7" w:rsidRDefault="00146DB7" w:rsidP="00146DB7">
            <w:pPr>
              <w:jc w:val="center"/>
              <w:rPr>
                <w:rFonts w:cstheme="minorHAnsi"/>
                <w:color w:val="000000"/>
              </w:rPr>
            </w:pPr>
          </w:p>
        </w:tc>
        <w:tc>
          <w:tcPr>
            <w:tcW w:w="993"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850" w:type="dxa"/>
            <w:shd w:val="clear" w:color="auto" w:fill="FFC000"/>
          </w:tcPr>
          <w:p w:rsidR="00146DB7" w:rsidRPr="00146DB7" w:rsidRDefault="00146DB7" w:rsidP="00146DB7">
            <w:pPr>
              <w:jc w:val="center"/>
              <w:rPr>
                <w:rFonts w:cstheme="minorHAnsi"/>
                <w:color w:val="000000"/>
              </w:rPr>
            </w:pPr>
            <w:r w:rsidRPr="00146DB7">
              <w:rPr>
                <w:color w:val="000000"/>
              </w:rPr>
              <w:t>+</w:t>
            </w:r>
          </w:p>
        </w:tc>
        <w:tc>
          <w:tcPr>
            <w:tcW w:w="992" w:type="dxa"/>
            <w:shd w:val="clear" w:color="auto" w:fill="FFC000"/>
          </w:tcPr>
          <w:p w:rsidR="00146DB7" w:rsidRPr="00146DB7" w:rsidRDefault="00146DB7" w:rsidP="00146DB7">
            <w:pPr>
              <w:jc w:val="center"/>
              <w:rPr>
                <w:rFonts w:cstheme="minorHAnsi"/>
                <w:color w:val="000000"/>
              </w:rPr>
            </w:pPr>
            <w:r w:rsidRPr="00146DB7">
              <w:rPr>
                <w:rFonts w:cstheme="minorHAnsi"/>
                <w:color w:val="000000"/>
              </w:rPr>
              <w:t>+</w:t>
            </w:r>
          </w:p>
        </w:tc>
      </w:tr>
      <w:tr w:rsidR="00146DB7" w:rsidRPr="00146DB7" w:rsidTr="009716CF">
        <w:trPr>
          <w:trHeight w:val="205"/>
        </w:trPr>
        <w:tc>
          <w:tcPr>
            <w:tcW w:w="2547" w:type="dxa"/>
          </w:tcPr>
          <w:p w:rsidR="00146DB7" w:rsidRPr="00146DB7" w:rsidRDefault="00146DB7" w:rsidP="00146DB7">
            <w:pPr>
              <w:rPr>
                <w:rFonts w:cstheme="minorHAnsi"/>
                <w:color w:val="000000"/>
              </w:rPr>
            </w:pPr>
            <w:r w:rsidRPr="00146DB7">
              <w:rPr>
                <w:rFonts w:cstheme="minorHAnsi"/>
                <w:color w:val="000000"/>
              </w:rPr>
              <w:t>M4.2</w:t>
            </w: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auto"/>
          </w:tcPr>
          <w:p w:rsidR="00146DB7" w:rsidRPr="00146DB7" w:rsidRDefault="00146DB7" w:rsidP="00146DB7">
            <w:pPr>
              <w:jc w:val="center"/>
              <w:rPr>
                <w:rFonts w:cstheme="minorHAnsi"/>
                <w:color w:val="000000"/>
              </w:rPr>
            </w:pPr>
          </w:p>
        </w:tc>
        <w:tc>
          <w:tcPr>
            <w:tcW w:w="709" w:type="dxa"/>
            <w:shd w:val="clear" w:color="auto" w:fill="FFC000"/>
          </w:tcPr>
          <w:p w:rsidR="00146DB7" w:rsidRPr="00146DB7" w:rsidRDefault="00146DB7" w:rsidP="00146DB7">
            <w:pPr>
              <w:jc w:val="center"/>
              <w:rPr>
                <w:rFonts w:cstheme="minorHAnsi"/>
                <w:color w:val="000000"/>
              </w:rPr>
            </w:pPr>
            <w:r w:rsidRPr="00146DB7">
              <w:rPr>
                <w:color w:val="000000"/>
              </w:rPr>
              <w:t>+</w:t>
            </w: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993"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850" w:type="dxa"/>
            <w:shd w:val="clear" w:color="auto" w:fill="FFFF00"/>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FFFF00"/>
          </w:tcPr>
          <w:p w:rsidR="00146DB7" w:rsidRPr="00146DB7" w:rsidRDefault="00146DB7" w:rsidP="00146DB7">
            <w:pPr>
              <w:jc w:val="center"/>
              <w:rPr>
                <w:rFonts w:cstheme="minorHAnsi"/>
                <w:color w:val="000000"/>
              </w:rPr>
            </w:pPr>
            <w:r w:rsidRPr="00146DB7">
              <w:rPr>
                <w:rFonts w:cstheme="minorHAnsi"/>
                <w:color w:val="000000"/>
              </w:rPr>
              <w:t>+/-</w:t>
            </w:r>
          </w:p>
        </w:tc>
      </w:tr>
      <w:tr w:rsidR="00146DB7" w:rsidRPr="00146DB7" w:rsidTr="009716CF">
        <w:trPr>
          <w:trHeight w:val="218"/>
        </w:trPr>
        <w:tc>
          <w:tcPr>
            <w:tcW w:w="2547" w:type="dxa"/>
          </w:tcPr>
          <w:p w:rsidR="00146DB7" w:rsidRPr="00146DB7" w:rsidRDefault="00146DB7" w:rsidP="00146DB7">
            <w:pPr>
              <w:rPr>
                <w:rFonts w:cstheme="minorHAnsi"/>
                <w:color w:val="000000"/>
              </w:rPr>
            </w:pPr>
            <w:r w:rsidRPr="00146DB7">
              <w:rPr>
                <w:rFonts w:cstheme="minorHAnsi"/>
                <w:color w:val="000000"/>
              </w:rPr>
              <w:t xml:space="preserve">M6.4 – </w:t>
            </w:r>
            <w:proofErr w:type="spellStart"/>
            <w:r w:rsidRPr="00146DB7">
              <w:rPr>
                <w:rFonts w:cstheme="minorHAnsi"/>
                <w:color w:val="000000"/>
              </w:rPr>
              <w:t>méthanisation</w:t>
            </w:r>
            <w:proofErr w:type="spellEnd"/>
          </w:p>
        </w:tc>
        <w:tc>
          <w:tcPr>
            <w:tcW w:w="992" w:type="dxa"/>
            <w:shd w:val="clear" w:color="auto" w:fill="auto"/>
          </w:tcPr>
          <w:p w:rsidR="00146DB7" w:rsidRPr="00146DB7" w:rsidRDefault="00146DB7" w:rsidP="00146DB7">
            <w:pPr>
              <w:jc w:val="center"/>
              <w:rPr>
                <w:rFonts w:cstheme="minorHAnsi"/>
                <w:color w:val="000000"/>
              </w:rPr>
            </w:pPr>
          </w:p>
        </w:tc>
        <w:tc>
          <w:tcPr>
            <w:tcW w:w="992" w:type="dxa"/>
            <w:shd w:val="clear" w:color="auto" w:fill="auto"/>
          </w:tcPr>
          <w:p w:rsidR="00146DB7" w:rsidRPr="00146DB7" w:rsidRDefault="00146DB7" w:rsidP="00146DB7">
            <w:pPr>
              <w:jc w:val="center"/>
              <w:rPr>
                <w:rFonts w:cstheme="minorHAnsi"/>
                <w:color w:val="000000"/>
              </w:rPr>
            </w:pPr>
          </w:p>
        </w:tc>
        <w:tc>
          <w:tcPr>
            <w:tcW w:w="709" w:type="dxa"/>
          </w:tcPr>
          <w:p w:rsidR="00146DB7" w:rsidRPr="00146DB7" w:rsidRDefault="00146DB7" w:rsidP="00146DB7">
            <w:pPr>
              <w:jc w:val="center"/>
              <w:rPr>
                <w:rFonts w:cstheme="minorHAnsi"/>
                <w:color w:val="000000"/>
              </w:rPr>
            </w:pPr>
          </w:p>
        </w:tc>
        <w:tc>
          <w:tcPr>
            <w:tcW w:w="992" w:type="dxa"/>
            <w:shd w:val="clear" w:color="auto" w:fill="auto"/>
          </w:tcPr>
          <w:p w:rsidR="00146DB7" w:rsidRPr="00146DB7" w:rsidRDefault="00146DB7" w:rsidP="00146DB7">
            <w:pPr>
              <w:jc w:val="center"/>
              <w:rPr>
                <w:rFonts w:cstheme="minorHAnsi"/>
                <w:color w:val="000000"/>
              </w:rPr>
            </w:pPr>
          </w:p>
        </w:tc>
        <w:tc>
          <w:tcPr>
            <w:tcW w:w="993"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850" w:type="dxa"/>
            <w:shd w:val="clear" w:color="auto" w:fill="FFC000"/>
          </w:tcPr>
          <w:p w:rsidR="00146DB7" w:rsidRPr="00146DB7" w:rsidRDefault="00146DB7" w:rsidP="00146DB7">
            <w:pPr>
              <w:jc w:val="center"/>
              <w:rPr>
                <w:color w:val="000000"/>
              </w:rPr>
            </w:pPr>
            <w:r w:rsidRPr="00146DB7">
              <w:rPr>
                <w:color w:val="000000"/>
              </w:rPr>
              <w:t>+</w:t>
            </w:r>
          </w:p>
        </w:tc>
        <w:tc>
          <w:tcPr>
            <w:tcW w:w="992" w:type="dxa"/>
            <w:shd w:val="clear" w:color="auto" w:fill="FFC000"/>
          </w:tcPr>
          <w:p w:rsidR="00146DB7" w:rsidRPr="00146DB7" w:rsidRDefault="00146DB7" w:rsidP="00146DB7">
            <w:pPr>
              <w:jc w:val="center"/>
              <w:rPr>
                <w:color w:val="000000"/>
              </w:rPr>
            </w:pPr>
            <w:r w:rsidRPr="00146DB7">
              <w:rPr>
                <w:color w:val="000000"/>
              </w:rPr>
              <w:t>+</w:t>
            </w:r>
          </w:p>
        </w:tc>
      </w:tr>
      <w:tr w:rsidR="00146DB7" w:rsidRPr="00146DB7" w:rsidTr="009716CF">
        <w:trPr>
          <w:trHeight w:val="218"/>
        </w:trPr>
        <w:tc>
          <w:tcPr>
            <w:tcW w:w="2547" w:type="dxa"/>
          </w:tcPr>
          <w:p w:rsidR="00146DB7" w:rsidRPr="00146DB7" w:rsidRDefault="00146DB7" w:rsidP="00146DB7">
            <w:pPr>
              <w:rPr>
                <w:rFonts w:cstheme="minorHAnsi"/>
                <w:color w:val="000000"/>
              </w:rPr>
            </w:pPr>
            <w:r w:rsidRPr="00146DB7">
              <w:rPr>
                <w:rFonts w:cstheme="minorHAnsi"/>
                <w:color w:val="000000"/>
              </w:rPr>
              <w:t>M10-MB9</w:t>
            </w: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709" w:type="dxa"/>
            <w:shd w:val="clear" w:color="auto" w:fill="FFFF00"/>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993"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850" w:type="dxa"/>
            <w:shd w:val="clear" w:color="auto" w:fill="FFFF00"/>
          </w:tcPr>
          <w:p w:rsidR="00146DB7" w:rsidRPr="00146DB7" w:rsidRDefault="00146DB7" w:rsidP="00146DB7">
            <w:pPr>
              <w:jc w:val="center"/>
              <w:rPr>
                <w:color w:val="000000"/>
              </w:rPr>
            </w:pPr>
            <w:r w:rsidRPr="00146DB7">
              <w:rPr>
                <w:rFonts w:cstheme="minorHAnsi"/>
                <w:color w:val="000000"/>
              </w:rPr>
              <w:t>+/-</w:t>
            </w:r>
          </w:p>
        </w:tc>
        <w:tc>
          <w:tcPr>
            <w:tcW w:w="992" w:type="dxa"/>
            <w:shd w:val="clear" w:color="auto" w:fill="FFFF00"/>
          </w:tcPr>
          <w:p w:rsidR="00146DB7" w:rsidRPr="00146DB7" w:rsidRDefault="00146DB7" w:rsidP="00146DB7">
            <w:pPr>
              <w:jc w:val="center"/>
              <w:rPr>
                <w:color w:val="000000"/>
              </w:rPr>
            </w:pPr>
            <w:r w:rsidRPr="00146DB7">
              <w:rPr>
                <w:color w:val="000000"/>
              </w:rPr>
              <w:t>+/-</w:t>
            </w:r>
          </w:p>
        </w:tc>
      </w:tr>
      <w:tr w:rsidR="00146DB7" w:rsidRPr="00146DB7" w:rsidTr="009716CF">
        <w:trPr>
          <w:trHeight w:val="218"/>
        </w:trPr>
        <w:tc>
          <w:tcPr>
            <w:tcW w:w="2547" w:type="dxa"/>
          </w:tcPr>
          <w:p w:rsidR="00146DB7" w:rsidRPr="00146DB7" w:rsidRDefault="00146DB7" w:rsidP="00146DB7">
            <w:pPr>
              <w:rPr>
                <w:rFonts w:cstheme="minorHAnsi"/>
                <w:color w:val="000000"/>
              </w:rPr>
            </w:pPr>
            <w:r w:rsidRPr="00146DB7">
              <w:rPr>
                <w:rFonts w:cstheme="minorHAnsi"/>
                <w:color w:val="000000"/>
              </w:rPr>
              <w:t>M10-autres</w:t>
            </w:r>
          </w:p>
        </w:tc>
        <w:tc>
          <w:tcPr>
            <w:tcW w:w="992" w:type="dxa"/>
            <w:shd w:val="clear" w:color="auto" w:fill="auto"/>
          </w:tcPr>
          <w:p w:rsidR="00146DB7" w:rsidRPr="00146DB7" w:rsidRDefault="00146DB7" w:rsidP="00146DB7">
            <w:pPr>
              <w:jc w:val="center"/>
              <w:rPr>
                <w:rFonts w:cstheme="minorHAnsi"/>
                <w:color w:val="000000"/>
              </w:rPr>
            </w:pPr>
          </w:p>
        </w:tc>
        <w:tc>
          <w:tcPr>
            <w:tcW w:w="992" w:type="dxa"/>
            <w:shd w:val="clear" w:color="auto" w:fill="auto"/>
          </w:tcPr>
          <w:p w:rsidR="00146DB7" w:rsidRPr="00146DB7" w:rsidRDefault="00146DB7" w:rsidP="00146DB7">
            <w:pPr>
              <w:jc w:val="center"/>
              <w:rPr>
                <w:rFonts w:cstheme="minorHAnsi"/>
                <w:color w:val="000000"/>
              </w:rPr>
            </w:pPr>
          </w:p>
        </w:tc>
        <w:tc>
          <w:tcPr>
            <w:tcW w:w="709" w:type="dxa"/>
          </w:tcPr>
          <w:p w:rsidR="00146DB7" w:rsidRPr="00146DB7" w:rsidRDefault="00146DB7" w:rsidP="00146DB7">
            <w:pPr>
              <w:jc w:val="center"/>
              <w:rPr>
                <w:rFonts w:cstheme="minorHAnsi"/>
                <w:color w:val="000000"/>
              </w:rPr>
            </w:pP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993" w:type="dxa"/>
            <w:shd w:val="clear" w:color="auto" w:fill="auto"/>
          </w:tcPr>
          <w:p w:rsidR="00146DB7" w:rsidRPr="00146DB7" w:rsidRDefault="00146DB7" w:rsidP="00146DB7">
            <w:pPr>
              <w:jc w:val="center"/>
              <w:rPr>
                <w:rFonts w:cstheme="minorHAnsi"/>
                <w:color w:val="000000"/>
              </w:rPr>
            </w:pPr>
          </w:p>
        </w:tc>
        <w:tc>
          <w:tcPr>
            <w:tcW w:w="850" w:type="dxa"/>
            <w:shd w:val="clear" w:color="auto" w:fill="00FF00"/>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00FF00"/>
          </w:tcPr>
          <w:p w:rsidR="00146DB7" w:rsidRPr="00146DB7" w:rsidRDefault="00146DB7" w:rsidP="00146DB7">
            <w:pPr>
              <w:jc w:val="center"/>
              <w:rPr>
                <w:rFonts w:cstheme="minorHAnsi"/>
                <w:color w:val="000000"/>
              </w:rPr>
            </w:pPr>
            <w:r w:rsidRPr="00146DB7">
              <w:rPr>
                <w:rFonts w:cstheme="minorHAnsi"/>
                <w:color w:val="000000"/>
              </w:rPr>
              <w:t>-</w:t>
            </w:r>
          </w:p>
        </w:tc>
      </w:tr>
      <w:tr w:rsidR="00146DB7" w:rsidRPr="00146DB7" w:rsidTr="009716CF">
        <w:trPr>
          <w:trHeight w:val="218"/>
        </w:trPr>
        <w:tc>
          <w:tcPr>
            <w:tcW w:w="2547" w:type="dxa"/>
          </w:tcPr>
          <w:p w:rsidR="00146DB7" w:rsidRPr="00146DB7" w:rsidRDefault="00146DB7" w:rsidP="00146DB7">
            <w:pPr>
              <w:rPr>
                <w:rFonts w:cstheme="minorHAnsi"/>
                <w:color w:val="000000"/>
              </w:rPr>
            </w:pPr>
            <w:r w:rsidRPr="00146DB7">
              <w:rPr>
                <w:rFonts w:cstheme="minorHAnsi"/>
                <w:color w:val="000000"/>
              </w:rPr>
              <w:t>M11-élevage</w:t>
            </w: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709" w:type="dxa"/>
            <w:shd w:val="clear" w:color="auto" w:fill="FFFF00"/>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993"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850" w:type="dxa"/>
            <w:shd w:val="clear" w:color="auto" w:fill="00FF00"/>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FFFF00"/>
          </w:tcPr>
          <w:p w:rsidR="00146DB7" w:rsidRPr="00146DB7" w:rsidRDefault="00146DB7" w:rsidP="00146DB7">
            <w:pPr>
              <w:jc w:val="center"/>
              <w:rPr>
                <w:rFonts w:cstheme="minorHAnsi"/>
                <w:color w:val="000000"/>
              </w:rPr>
            </w:pPr>
            <w:r w:rsidRPr="00146DB7">
              <w:rPr>
                <w:rFonts w:cstheme="minorHAnsi"/>
                <w:color w:val="000000"/>
              </w:rPr>
              <w:t>+/-</w:t>
            </w:r>
          </w:p>
        </w:tc>
      </w:tr>
      <w:tr w:rsidR="00146DB7" w:rsidRPr="00146DB7" w:rsidTr="009716CF">
        <w:trPr>
          <w:trHeight w:val="163"/>
        </w:trPr>
        <w:tc>
          <w:tcPr>
            <w:tcW w:w="2547" w:type="dxa"/>
          </w:tcPr>
          <w:p w:rsidR="00146DB7" w:rsidRPr="00146DB7" w:rsidRDefault="00146DB7" w:rsidP="00146DB7">
            <w:pPr>
              <w:rPr>
                <w:rFonts w:cstheme="minorHAnsi"/>
                <w:color w:val="000000"/>
              </w:rPr>
            </w:pPr>
            <w:r w:rsidRPr="00146DB7">
              <w:rPr>
                <w:rFonts w:cstheme="minorHAnsi"/>
                <w:color w:val="000000"/>
              </w:rPr>
              <w:t>M11-cultures</w:t>
            </w:r>
          </w:p>
        </w:tc>
        <w:tc>
          <w:tcPr>
            <w:tcW w:w="992" w:type="dxa"/>
            <w:shd w:val="clear" w:color="auto" w:fill="auto"/>
          </w:tcPr>
          <w:p w:rsidR="00146DB7" w:rsidRPr="00146DB7" w:rsidRDefault="00146DB7" w:rsidP="00146DB7">
            <w:pPr>
              <w:jc w:val="center"/>
              <w:rPr>
                <w:rFonts w:cstheme="minorHAnsi"/>
                <w:color w:val="000000"/>
              </w:rPr>
            </w:pPr>
          </w:p>
        </w:tc>
        <w:tc>
          <w:tcPr>
            <w:tcW w:w="992" w:type="dxa"/>
            <w:shd w:val="clear" w:color="auto" w:fill="auto"/>
          </w:tcPr>
          <w:p w:rsidR="00146DB7" w:rsidRPr="00146DB7" w:rsidRDefault="00146DB7" w:rsidP="00146DB7">
            <w:pPr>
              <w:jc w:val="center"/>
              <w:rPr>
                <w:rFonts w:cstheme="minorHAnsi"/>
                <w:color w:val="000000"/>
              </w:rPr>
            </w:pPr>
          </w:p>
        </w:tc>
        <w:tc>
          <w:tcPr>
            <w:tcW w:w="709" w:type="dxa"/>
          </w:tcPr>
          <w:p w:rsidR="00146DB7" w:rsidRPr="00146DB7" w:rsidRDefault="00146DB7" w:rsidP="00146DB7">
            <w:pPr>
              <w:jc w:val="center"/>
              <w:rPr>
                <w:rFonts w:cstheme="minorHAnsi"/>
                <w:color w:val="000000"/>
              </w:rPr>
            </w:pP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993"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850" w:type="dxa"/>
            <w:shd w:val="clear" w:color="auto" w:fill="00FF00"/>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00FF00"/>
          </w:tcPr>
          <w:p w:rsidR="00146DB7" w:rsidRPr="00146DB7" w:rsidRDefault="00146DB7" w:rsidP="00146DB7">
            <w:pPr>
              <w:jc w:val="center"/>
              <w:rPr>
                <w:rFonts w:cstheme="minorHAnsi"/>
                <w:color w:val="000000"/>
              </w:rPr>
            </w:pPr>
            <w:r w:rsidRPr="00146DB7">
              <w:rPr>
                <w:rFonts w:cstheme="minorHAnsi"/>
                <w:color w:val="000000"/>
              </w:rPr>
              <w:t>-</w:t>
            </w:r>
          </w:p>
        </w:tc>
      </w:tr>
      <w:tr w:rsidR="00146DB7" w:rsidRPr="00146DB7" w:rsidTr="009716CF">
        <w:trPr>
          <w:trHeight w:val="147"/>
        </w:trPr>
        <w:tc>
          <w:tcPr>
            <w:tcW w:w="2547" w:type="dxa"/>
          </w:tcPr>
          <w:p w:rsidR="00146DB7" w:rsidRPr="00146DB7" w:rsidRDefault="00146DB7" w:rsidP="00146DB7">
            <w:pPr>
              <w:rPr>
                <w:rFonts w:cstheme="minorHAnsi"/>
                <w:color w:val="000000"/>
              </w:rPr>
            </w:pPr>
            <w:r w:rsidRPr="00146DB7">
              <w:rPr>
                <w:rFonts w:cstheme="minorHAnsi"/>
                <w:color w:val="000000"/>
              </w:rPr>
              <w:t>M12</w:t>
            </w:r>
          </w:p>
        </w:tc>
        <w:tc>
          <w:tcPr>
            <w:tcW w:w="992" w:type="dxa"/>
            <w:shd w:val="clear" w:color="auto" w:fill="auto"/>
          </w:tcPr>
          <w:p w:rsidR="00146DB7" w:rsidRPr="00146DB7" w:rsidRDefault="00146DB7" w:rsidP="00146DB7">
            <w:pPr>
              <w:jc w:val="center"/>
              <w:rPr>
                <w:rFonts w:cstheme="minorHAnsi"/>
                <w:color w:val="000000"/>
              </w:rPr>
            </w:pPr>
          </w:p>
        </w:tc>
        <w:tc>
          <w:tcPr>
            <w:tcW w:w="992" w:type="dxa"/>
            <w:shd w:val="clear" w:color="auto" w:fill="auto"/>
          </w:tcPr>
          <w:p w:rsidR="00146DB7" w:rsidRPr="00146DB7" w:rsidRDefault="00146DB7" w:rsidP="00146DB7">
            <w:pPr>
              <w:jc w:val="center"/>
              <w:rPr>
                <w:rFonts w:cstheme="minorHAnsi"/>
                <w:color w:val="000000"/>
              </w:rPr>
            </w:pPr>
          </w:p>
        </w:tc>
        <w:tc>
          <w:tcPr>
            <w:tcW w:w="709" w:type="dxa"/>
          </w:tcPr>
          <w:p w:rsidR="00146DB7" w:rsidRPr="00146DB7" w:rsidRDefault="00146DB7" w:rsidP="00146DB7">
            <w:pPr>
              <w:jc w:val="center"/>
              <w:rPr>
                <w:rFonts w:cstheme="minorHAnsi"/>
                <w:color w:val="000000"/>
              </w:rPr>
            </w:pPr>
          </w:p>
        </w:tc>
        <w:tc>
          <w:tcPr>
            <w:tcW w:w="992"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993" w:type="dxa"/>
            <w:shd w:val="clear" w:color="auto" w:fill="auto"/>
          </w:tcPr>
          <w:p w:rsidR="00146DB7" w:rsidRPr="00146DB7" w:rsidRDefault="00146DB7" w:rsidP="00146DB7">
            <w:pPr>
              <w:jc w:val="center"/>
              <w:rPr>
                <w:rFonts w:cstheme="minorHAnsi"/>
                <w:color w:val="000000"/>
              </w:rPr>
            </w:pPr>
            <w:r w:rsidRPr="00146DB7">
              <w:rPr>
                <w:rFonts w:cstheme="minorHAnsi"/>
                <w:color w:val="000000"/>
              </w:rPr>
              <w:t>-</w:t>
            </w:r>
          </w:p>
        </w:tc>
        <w:tc>
          <w:tcPr>
            <w:tcW w:w="850" w:type="dxa"/>
            <w:shd w:val="clear" w:color="auto" w:fill="00FF00"/>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00FF00"/>
          </w:tcPr>
          <w:p w:rsidR="00146DB7" w:rsidRPr="00146DB7" w:rsidRDefault="00146DB7" w:rsidP="00146DB7">
            <w:pPr>
              <w:jc w:val="center"/>
              <w:rPr>
                <w:rFonts w:cstheme="minorHAnsi"/>
                <w:color w:val="000000"/>
              </w:rPr>
            </w:pPr>
            <w:r w:rsidRPr="00146DB7">
              <w:rPr>
                <w:rFonts w:cstheme="minorHAnsi"/>
                <w:color w:val="000000"/>
              </w:rPr>
              <w:t>-</w:t>
            </w:r>
          </w:p>
        </w:tc>
      </w:tr>
      <w:tr w:rsidR="00146DB7" w:rsidRPr="00146DB7" w:rsidTr="009716CF">
        <w:trPr>
          <w:trHeight w:val="147"/>
        </w:trPr>
        <w:tc>
          <w:tcPr>
            <w:tcW w:w="2547" w:type="dxa"/>
          </w:tcPr>
          <w:p w:rsidR="00146DB7" w:rsidRPr="00146DB7" w:rsidRDefault="00146DB7" w:rsidP="00146DB7">
            <w:pPr>
              <w:rPr>
                <w:rFonts w:cstheme="minorHAnsi"/>
                <w:b/>
                <w:color w:val="000000"/>
              </w:rPr>
            </w:pPr>
            <w:proofErr w:type="spellStart"/>
            <w:r w:rsidRPr="00146DB7">
              <w:rPr>
                <w:rFonts w:cstheme="minorHAnsi"/>
                <w:b/>
                <w:color w:val="000000"/>
              </w:rPr>
              <w:t>Bilan</w:t>
            </w:r>
            <w:proofErr w:type="spellEnd"/>
          </w:p>
        </w:tc>
        <w:tc>
          <w:tcPr>
            <w:tcW w:w="992" w:type="dxa"/>
            <w:shd w:val="clear" w:color="auto" w:fill="auto"/>
          </w:tcPr>
          <w:p w:rsidR="00146DB7" w:rsidRPr="00146DB7" w:rsidRDefault="00146DB7" w:rsidP="00146DB7">
            <w:pPr>
              <w:jc w:val="center"/>
              <w:rPr>
                <w:rFonts w:cstheme="minorHAnsi"/>
                <w:color w:val="000000"/>
              </w:rPr>
            </w:pPr>
          </w:p>
        </w:tc>
        <w:tc>
          <w:tcPr>
            <w:tcW w:w="992" w:type="dxa"/>
            <w:shd w:val="clear" w:color="auto" w:fill="auto"/>
          </w:tcPr>
          <w:p w:rsidR="00146DB7" w:rsidRPr="00146DB7" w:rsidRDefault="00146DB7" w:rsidP="00146DB7">
            <w:pPr>
              <w:jc w:val="center"/>
              <w:rPr>
                <w:rFonts w:cstheme="minorHAnsi"/>
                <w:color w:val="000000"/>
              </w:rPr>
            </w:pPr>
          </w:p>
        </w:tc>
        <w:tc>
          <w:tcPr>
            <w:tcW w:w="709" w:type="dxa"/>
            <w:shd w:val="clear" w:color="auto" w:fill="FFFF00"/>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auto"/>
          </w:tcPr>
          <w:p w:rsidR="00146DB7" w:rsidRPr="00146DB7" w:rsidRDefault="00146DB7" w:rsidP="00146DB7">
            <w:pPr>
              <w:jc w:val="center"/>
              <w:rPr>
                <w:rFonts w:cstheme="minorHAnsi"/>
                <w:color w:val="000000"/>
              </w:rPr>
            </w:pPr>
          </w:p>
        </w:tc>
        <w:tc>
          <w:tcPr>
            <w:tcW w:w="993" w:type="dxa"/>
            <w:shd w:val="clear" w:color="auto" w:fill="auto"/>
          </w:tcPr>
          <w:p w:rsidR="00146DB7" w:rsidRPr="00146DB7" w:rsidRDefault="00146DB7" w:rsidP="00146DB7">
            <w:pPr>
              <w:jc w:val="center"/>
              <w:rPr>
                <w:rFonts w:cstheme="minorHAnsi"/>
                <w:color w:val="000000"/>
              </w:rPr>
            </w:pPr>
          </w:p>
        </w:tc>
        <w:tc>
          <w:tcPr>
            <w:tcW w:w="850" w:type="dxa"/>
            <w:shd w:val="clear" w:color="auto" w:fill="FFFF00"/>
          </w:tcPr>
          <w:p w:rsidR="00146DB7" w:rsidRPr="00146DB7" w:rsidRDefault="00146DB7" w:rsidP="00146DB7">
            <w:pPr>
              <w:jc w:val="center"/>
              <w:rPr>
                <w:rFonts w:cstheme="minorHAnsi"/>
                <w:color w:val="000000"/>
              </w:rPr>
            </w:pPr>
            <w:r w:rsidRPr="00146DB7">
              <w:rPr>
                <w:rFonts w:cstheme="minorHAnsi"/>
                <w:color w:val="000000"/>
              </w:rPr>
              <w:t>+/-</w:t>
            </w:r>
          </w:p>
        </w:tc>
        <w:tc>
          <w:tcPr>
            <w:tcW w:w="992" w:type="dxa"/>
            <w:shd w:val="clear" w:color="auto" w:fill="FFFF00"/>
          </w:tcPr>
          <w:p w:rsidR="00146DB7" w:rsidRPr="00146DB7" w:rsidRDefault="00146DB7" w:rsidP="00146DB7">
            <w:pPr>
              <w:jc w:val="center"/>
              <w:rPr>
                <w:rFonts w:cstheme="minorHAnsi"/>
                <w:color w:val="000000"/>
              </w:rPr>
            </w:pPr>
            <w:r w:rsidRPr="00146DB7">
              <w:rPr>
                <w:rFonts w:cstheme="minorHAnsi"/>
                <w:color w:val="000000"/>
              </w:rPr>
              <w:t>+/-</w:t>
            </w:r>
          </w:p>
        </w:tc>
      </w:tr>
    </w:tbl>
    <w:p w:rsidR="00146DB7" w:rsidRPr="00057CAF" w:rsidRDefault="00146DB7" w:rsidP="00146DB7">
      <w:pPr>
        <w:spacing w:after="160"/>
        <w:rPr>
          <w:rFonts w:eastAsiaTheme="minorHAnsi" w:cstheme="minorBidi"/>
          <w:szCs w:val="22"/>
          <w:lang w:val="fr-FR"/>
        </w:rPr>
      </w:pPr>
      <w:r w:rsidRPr="00057CAF">
        <w:rPr>
          <w:rFonts w:eastAsiaTheme="minorHAnsi" w:cstheme="minorBidi"/>
          <w:i/>
          <w:noProof/>
          <w:szCs w:val="22"/>
          <w:u w:val="single"/>
          <w:lang w:val="fr-FR"/>
        </w:rPr>
        <w:t>Légende des flêches et aides à la lecture du tableau</w:t>
      </w:r>
      <w:r w:rsidRPr="00057CAF">
        <w:rPr>
          <w:rFonts w:eastAsiaTheme="minorHAnsi" w:cstheme="minorBidi"/>
          <w:i/>
          <w:noProof/>
          <w:szCs w:val="22"/>
          <w:lang w:val="fr-FR"/>
        </w:rPr>
        <w:t> : le tableau reprend les signes de la relation de cause à effet entre chaque mesure et, respectivement, le flux d’entrée dans les animaux (A), le taux de perte à partir de ce flux (B), le flux d’entrée dans le sol (C) et  taux de perte à partir de ce flux (D) ; sur cette base, il identifie l’effet sur les pertes correspondantes, et sur le total des pertes (dernière colonne) ; par perte on entend un flux de sortie vers l’environnement, un effet positif sur une perte est considéré comme défavorable pour l’environnement.</w:t>
      </w:r>
    </w:p>
    <w:p w:rsidR="00FE454A" w:rsidRPr="00057CAF" w:rsidRDefault="00FE454A" w:rsidP="00146DB7">
      <w:pPr>
        <w:spacing w:after="160"/>
        <w:rPr>
          <w:rFonts w:eastAsiaTheme="minorHAnsi" w:cstheme="minorBidi"/>
          <w:szCs w:val="22"/>
          <w:lang w:val="fr-FR"/>
        </w:rPr>
      </w:pPr>
      <w:r w:rsidRPr="00057CAF">
        <w:rPr>
          <w:rFonts w:eastAsiaTheme="minorHAnsi" w:cstheme="minorBidi"/>
          <w:szCs w:val="22"/>
          <w:lang w:val="fr-FR"/>
        </w:rPr>
        <w:br w:type="page"/>
      </w:r>
    </w:p>
    <w:p w:rsidR="00146DB7" w:rsidRPr="00146DB7" w:rsidRDefault="00146DB7" w:rsidP="00146DB7">
      <w:pPr>
        <w:spacing w:after="160"/>
        <w:rPr>
          <w:rFonts w:eastAsiaTheme="minorHAnsi" w:cstheme="minorBidi"/>
          <w:szCs w:val="22"/>
        </w:rPr>
      </w:pPr>
      <w:proofErr w:type="spellStart"/>
      <w:r w:rsidRPr="00146DB7">
        <w:rPr>
          <w:rFonts w:eastAsiaTheme="minorHAnsi" w:cstheme="minorBidi"/>
          <w:szCs w:val="22"/>
        </w:rPr>
        <w:lastRenderedPageBreak/>
        <w:t>Commentaires</w:t>
      </w:r>
      <w:proofErr w:type="spellEnd"/>
      <w:r w:rsidRPr="00146DB7">
        <w:rPr>
          <w:rFonts w:eastAsiaTheme="minorHAnsi" w:cstheme="minorBidi"/>
          <w:szCs w:val="22"/>
        </w:rPr>
        <w:t xml:space="preserve"> et </w:t>
      </w:r>
      <w:proofErr w:type="gramStart"/>
      <w:r w:rsidRPr="00146DB7">
        <w:rPr>
          <w:rFonts w:eastAsiaTheme="minorHAnsi" w:cstheme="minorBidi"/>
          <w:szCs w:val="22"/>
        </w:rPr>
        <w:t>explications :</w:t>
      </w:r>
      <w:proofErr w:type="gramEnd"/>
    </w:p>
    <w:p w:rsidR="00146DB7" w:rsidRPr="00057CAF" w:rsidRDefault="00146DB7" w:rsidP="00FE454A">
      <w:pPr>
        <w:pStyle w:val="bullets"/>
        <w:rPr>
          <w:color w:val="000000"/>
          <w:lang w:val="fr-FR"/>
        </w:rPr>
      </w:pPr>
      <w:r w:rsidRPr="00057CAF">
        <w:rPr>
          <w:lang w:val="fr-FR"/>
        </w:rPr>
        <w:t xml:space="preserve">La quantité de N ingérée (A) est influencée par le cheptel total (voir </w:t>
      </w:r>
      <w:r w:rsidR="00BF3578" w:rsidRPr="00057CAF">
        <w:rPr>
          <w:lang w:val="fr-FR"/>
        </w:rPr>
        <w:t>Annexe 6</w:t>
      </w:r>
      <w:r w:rsidRPr="00057CAF">
        <w:rPr>
          <w:lang w:val="fr-FR"/>
        </w:rPr>
        <w:t>): les actions en faveur de son augmentation (</w:t>
      </w:r>
      <w:r w:rsidR="002033E4" w:rsidRPr="00057CAF">
        <w:rPr>
          <w:lang w:val="fr-FR"/>
        </w:rPr>
        <w:t xml:space="preserve">effets potentiels de </w:t>
      </w:r>
      <w:r w:rsidRPr="00057CAF">
        <w:rPr>
          <w:lang w:val="fr-FR"/>
        </w:rPr>
        <w:t>M4.1, M4.2, voire M1.2 dans la mesure où elles soutiennent la viabilité et la croissance des exploitations d’élevage jouent donc positivement ; MB9 et M11 jouent en sens contraire ; cependant elle peut aussi être réduite par des améliorations de l’efficience azotée (d’où le signe +/- pour M1.2 et M4.1-équipements d’élevage).</w:t>
      </w:r>
    </w:p>
    <w:p w:rsidR="00146DB7" w:rsidRPr="00057CAF" w:rsidRDefault="00146DB7" w:rsidP="00FE454A">
      <w:pPr>
        <w:pStyle w:val="bullets"/>
        <w:rPr>
          <w:color w:val="000000"/>
          <w:lang w:val="fr-FR"/>
        </w:rPr>
      </w:pPr>
      <w:r w:rsidRPr="00057CAF">
        <w:rPr>
          <w:lang w:val="fr-FR"/>
        </w:rPr>
        <w:t xml:space="preserve">Le pourcentage de l’azote ingéré qui est perdu à partir des effluents (B) est diminué par l’amélioration de l’efficience azotée. D’une part celle-ci est réduite par MB9 et M11, d’autre part elle est favorisée par les  </w:t>
      </w:r>
      <w:r w:rsidRPr="00057CAF">
        <w:rPr>
          <w:color w:val="000000"/>
          <w:lang w:val="fr-FR"/>
        </w:rPr>
        <w:t>aides à l’amélioration de la productivité de l’élevage (</w:t>
      </w:r>
      <w:r w:rsidRPr="00057CAF">
        <w:rPr>
          <w:lang w:val="fr-FR"/>
        </w:rPr>
        <w:t>Forum de l’ARSIA sous M1.2, acquisition d’équipements M4.1 permettant par exemple le nourrissage individualisé du bétail), pour autant qu’elles n’incitent pas à une suralimentation protéique (défavorable à l’efficience azotée). Certaines aides (M4.1) à la gestion des effluents jouent dans le même sens sur B.</w:t>
      </w:r>
      <w:r w:rsidRPr="00057CAF">
        <w:rPr>
          <w:color w:val="000000"/>
          <w:lang w:val="fr-FR"/>
        </w:rPr>
        <w:t xml:space="preserve"> </w:t>
      </w:r>
    </w:p>
    <w:p w:rsidR="00146DB7" w:rsidRPr="00057CAF" w:rsidRDefault="00146DB7" w:rsidP="00FE454A">
      <w:pPr>
        <w:pStyle w:val="bullets"/>
        <w:rPr>
          <w:lang w:val="fr-FR"/>
        </w:rPr>
      </w:pPr>
      <w:r w:rsidRPr="00057CAF">
        <w:rPr>
          <w:lang w:val="fr-FR"/>
        </w:rPr>
        <w:t>La fertilisation totale C est supposée influencée par les restrictions d’usage des engrais de synthèse (M10, M11, M12) et par le cheptel total, en raison de sa demande alimentaire;  d’où une répercussion avec inversion des signes de la colonne A dans la colonne C, sauf pour M11 (agriculture biologique) ; les variations de production d’effluents ou de fixation biologique sont considérés comme étant sans effet sur les apports totaux, en raison des ajustements qu’elles entrainent en matière de fertilisation minérale.</w:t>
      </w:r>
    </w:p>
    <w:p w:rsidR="00146DB7" w:rsidRPr="00057CAF" w:rsidRDefault="00146DB7" w:rsidP="00FE454A">
      <w:pPr>
        <w:pStyle w:val="bullets"/>
        <w:rPr>
          <w:lang w:val="fr-FR"/>
        </w:rPr>
      </w:pPr>
      <w:r w:rsidRPr="00057CAF">
        <w:rPr>
          <w:lang w:val="fr-FR"/>
        </w:rPr>
        <w:t>Le produit de A x B détermine le volume d’engrais organique appliqué au sol, et donc la proportion d’engrais minéral, généralement à action plus rapide, avec un effet sur le pourcentage d’azote qui appliqué au sol est perdu dans l’environnement (D). Le signe indiqué dans la colonne D est donc dépendant de celui des colonnes A et B.  Comme indiqué dans le second schéma, les apports totaux au sol influencent le taux de perte, dans la mesure où les doses élevées dépassent les capacités d’absorption par les plantes (corollaire de la loi des rendements décroissantes), cet effet n’a pas été repris dans le tableau car allant dans le même sens que les effets sur C.</w:t>
      </w:r>
    </w:p>
    <w:p w:rsidR="00146DB7" w:rsidRPr="00057CAF" w:rsidRDefault="00146DB7" w:rsidP="00146DB7">
      <w:pPr>
        <w:spacing w:after="160"/>
        <w:rPr>
          <w:rFonts w:eastAsiaTheme="minorHAnsi" w:cstheme="minorHAnsi"/>
          <w:b/>
          <w:color w:val="000000"/>
          <w:szCs w:val="22"/>
          <w:lang w:val="fr-FR"/>
        </w:rPr>
      </w:pPr>
      <w:r w:rsidRPr="00057CAF">
        <w:rPr>
          <w:rFonts w:eastAsiaTheme="minorHAnsi" w:cstheme="minorBidi"/>
          <w:szCs w:val="22"/>
          <w:lang w:val="fr-FR"/>
        </w:rPr>
        <w:t xml:space="preserve">De cette analyse, il ressort que l’effet net du PDR sur les flux azotés sortant du système agriculture-élevage vers l’environnement </w:t>
      </w:r>
      <w:r w:rsidRPr="00057CAF">
        <w:rPr>
          <w:rFonts w:eastAsiaTheme="minorHAnsi" w:cstheme="minorHAnsi"/>
          <w:color w:val="000000"/>
          <w:szCs w:val="22"/>
          <w:lang w:val="fr-FR"/>
        </w:rPr>
        <w:t xml:space="preserve">(FS1+FS3) </w:t>
      </w:r>
      <w:r w:rsidRPr="00057CAF">
        <w:rPr>
          <w:rFonts w:eastAsiaTheme="minorHAnsi" w:cstheme="minorBidi"/>
          <w:szCs w:val="22"/>
          <w:lang w:val="fr-FR"/>
        </w:rPr>
        <w:t>est incertain, car issu d’</w:t>
      </w:r>
      <w:r w:rsidRPr="00057CAF">
        <w:rPr>
          <w:rFonts w:eastAsiaTheme="minorHAnsi" w:cstheme="minorHAnsi"/>
          <w:color w:val="000000"/>
          <w:szCs w:val="22"/>
          <w:lang w:val="fr-FR"/>
        </w:rPr>
        <w:t xml:space="preserve">actions qui agissent en sens inverses.  </w:t>
      </w:r>
      <w:r w:rsidRPr="00057CAF">
        <w:rPr>
          <w:rFonts w:eastAsiaTheme="minorHAnsi" w:cstheme="minorHAnsi"/>
          <w:b/>
          <w:color w:val="000000"/>
          <w:szCs w:val="22"/>
          <w:lang w:val="fr-FR"/>
        </w:rPr>
        <w:t>Le bilan dépend notamment de l’effet du PDR sur le cheptel (discuté à l’</w:t>
      </w:r>
      <w:r w:rsidR="00BF3578" w:rsidRPr="00057CAF">
        <w:rPr>
          <w:rFonts w:eastAsiaTheme="minorHAnsi" w:cstheme="minorHAnsi"/>
          <w:b/>
          <w:color w:val="000000"/>
          <w:szCs w:val="22"/>
          <w:lang w:val="fr-FR"/>
        </w:rPr>
        <w:t>annexe 6</w:t>
      </w:r>
      <w:r w:rsidRPr="00057CAF">
        <w:rPr>
          <w:rFonts w:eastAsiaTheme="minorHAnsi" w:cstheme="minorHAnsi"/>
          <w:b/>
          <w:color w:val="000000"/>
          <w:szCs w:val="22"/>
          <w:lang w:val="fr-FR"/>
        </w:rPr>
        <w:t xml:space="preserve">) et sur l’efficience azotée de l’élevage. </w:t>
      </w:r>
      <w:r w:rsidRPr="00057CAF">
        <w:rPr>
          <w:rFonts w:eastAsiaTheme="minorHAnsi" w:cstheme="minorHAnsi"/>
          <w:color w:val="000000"/>
          <w:szCs w:val="22"/>
          <w:lang w:val="fr-FR"/>
        </w:rPr>
        <w:t>A défaut de le déterminer, cette analyse permet néanmoins de déceler des actions plus ou moins favorables, ce qui doit permettre de fonder des recommandations.</w:t>
      </w:r>
    </w:p>
    <w:p w:rsidR="00146DB7" w:rsidRPr="00057CAF" w:rsidRDefault="00146DB7" w:rsidP="00146DB7">
      <w:pPr>
        <w:spacing w:after="160" w:line="259" w:lineRule="auto"/>
        <w:jc w:val="left"/>
        <w:rPr>
          <w:rFonts w:eastAsiaTheme="minorHAnsi" w:cstheme="minorBidi"/>
          <w:szCs w:val="22"/>
          <w:lang w:val="fr-FR"/>
        </w:rPr>
      </w:pPr>
      <w:r w:rsidRPr="00057CAF">
        <w:rPr>
          <w:rFonts w:eastAsiaTheme="minorHAnsi" w:cstheme="minorBidi"/>
          <w:szCs w:val="22"/>
          <w:lang w:val="fr-FR"/>
        </w:rPr>
        <w:br w:type="page"/>
      </w:r>
    </w:p>
    <w:p w:rsidR="00146DB7" w:rsidRDefault="00FE454A" w:rsidP="0050022D">
      <w:pPr>
        <w:pStyle w:val="Titre1"/>
      </w:pPr>
      <w:bookmarkStart w:id="107" w:name="_Toc1055153"/>
      <w:bookmarkStart w:id="108" w:name="_Toc11278975"/>
      <w:bookmarkStart w:id="109" w:name="_Toc25688792"/>
      <w:r>
        <w:lastRenderedPageBreak/>
        <w:t>Annexe 6</w:t>
      </w:r>
      <w:r w:rsidR="00146DB7" w:rsidRPr="00146DB7">
        <w:t>. Analyse de l’impact transmis par le cheptel bovin.</w:t>
      </w:r>
      <w:bookmarkEnd w:id="107"/>
      <w:bookmarkEnd w:id="108"/>
      <w:bookmarkEnd w:id="109"/>
    </w:p>
    <w:p w:rsidR="00146DB7" w:rsidRPr="00057CAF" w:rsidRDefault="00146DB7" w:rsidP="00146DB7">
      <w:pPr>
        <w:spacing w:after="160"/>
        <w:rPr>
          <w:rFonts w:eastAsiaTheme="minorHAnsi" w:cstheme="minorBidi"/>
          <w:szCs w:val="22"/>
          <w:lang w:val="fr-FR"/>
        </w:rPr>
      </w:pPr>
      <w:r w:rsidRPr="00057CAF">
        <w:rPr>
          <w:rFonts w:eastAsiaTheme="minorHAnsi" w:cstheme="minorBidi"/>
          <w:szCs w:val="22"/>
          <w:lang w:val="fr-FR"/>
        </w:rPr>
        <w:t xml:space="preserve">Le PDR influence l’effectif de bovins dans une mesure incertaine et probablement à la baisse. L’objet de cette annexe est d’évaluer l’ampleur de cet effet, ses conséquences sur certaines autres grandeurs pertinentes du point de vue environnement (extension des prairies, charge), et les conséquences environnementales d’une variation unitaire du cheptel. </w:t>
      </w:r>
    </w:p>
    <w:p w:rsidR="00146DB7" w:rsidRPr="00057CAF" w:rsidRDefault="00146DB7" w:rsidP="00146DB7">
      <w:pPr>
        <w:spacing w:after="160"/>
        <w:rPr>
          <w:rFonts w:eastAsiaTheme="minorHAnsi" w:cstheme="minorBidi"/>
          <w:szCs w:val="22"/>
          <w:lang w:val="fr-FR"/>
        </w:rPr>
      </w:pPr>
      <w:r w:rsidRPr="00057CAF">
        <w:rPr>
          <w:rFonts w:eastAsiaTheme="minorHAnsi" w:cstheme="minorBidi"/>
          <w:szCs w:val="22"/>
          <w:lang w:val="fr-FR"/>
        </w:rPr>
        <w:t>L’évaluation par quantité unitaire est proposée en raison de l’incertitude sur l’impact quantitatif du PDR sur le cheptel. Elle peut servir à estimer l’impact total sur l’environnement en fonction de divers scénarii relatifs à l’impact sur le cheptel.</w:t>
      </w:r>
    </w:p>
    <w:p w:rsidR="00146DB7" w:rsidRPr="00057CAF" w:rsidRDefault="00146DB7" w:rsidP="00FE454A">
      <w:pPr>
        <w:pStyle w:val="Titre2"/>
        <w:rPr>
          <w:lang w:val="fr-FR"/>
        </w:rPr>
      </w:pPr>
      <w:bookmarkStart w:id="110" w:name="_Toc1055154"/>
      <w:bookmarkStart w:id="111" w:name="_Toc11278976"/>
      <w:bookmarkStart w:id="112" w:name="_Toc11333821"/>
      <w:bookmarkStart w:id="113" w:name="_Toc25688793"/>
      <w:r w:rsidRPr="00057CAF">
        <w:rPr>
          <w:lang w:val="fr-FR"/>
        </w:rPr>
        <w:t>1. Tendances observées du cheptel bovin</w:t>
      </w:r>
      <w:bookmarkEnd w:id="110"/>
      <w:bookmarkEnd w:id="111"/>
      <w:bookmarkEnd w:id="112"/>
      <w:bookmarkEnd w:id="113"/>
    </w:p>
    <w:p w:rsidR="00146DB7" w:rsidRPr="00057CAF" w:rsidRDefault="00146DB7" w:rsidP="00146DB7">
      <w:pPr>
        <w:rPr>
          <w:rFonts w:eastAsiaTheme="minorHAnsi" w:cstheme="minorHAnsi"/>
          <w:szCs w:val="22"/>
          <w:lang w:val="fr-FR"/>
        </w:rPr>
      </w:pPr>
      <w:r w:rsidRPr="00057CAF">
        <w:rPr>
          <w:rFonts w:eastAsiaTheme="minorHAnsi" w:cstheme="minorHAnsi"/>
          <w:szCs w:val="22"/>
          <w:lang w:val="fr-FR"/>
        </w:rPr>
        <w:t>Après avoir diminué de près de 18 000 têtes par an jusqu’en 2013, le cheptel wallon s’est stabilisé dans les dernières années</w:t>
      </w:r>
      <w:r w:rsidR="009C6968" w:rsidRPr="00057CAF">
        <w:rPr>
          <w:rFonts w:eastAsiaTheme="minorHAnsi" w:cstheme="minorHAnsi"/>
          <w:szCs w:val="22"/>
          <w:lang w:val="fr-FR"/>
        </w:rPr>
        <w:t xml:space="preserve"> (pour encore diminuer en 2016-2017)</w:t>
      </w:r>
      <w:r w:rsidR="00467012" w:rsidRPr="00057CAF">
        <w:rPr>
          <w:rFonts w:eastAsiaTheme="minorHAnsi" w:cstheme="minorHAnsi"/>
          <w:szCs w:val="22"/>
          <w:lang w:val="fr-FR"/>
        </w:rPr>
        <w:t>.</w:t>
      </w:r>
      <w:r w:rsidRPr="00057CAF">
        <w:rPr>
          <w:rFonts w:eastAsiaTheme="minorHAnsi" w:cstheme="minorHAnsi"/>
          <w:szCs w:val="22"/>
          <w:lang w:val="fr-FR"/>
        </w:rPr>
        <w:t xml:space="preserve"> </w:t>
      </w:r>
    </w:p>
    <w:p w:rsidR="00FE454A" w:rsidRPr="00057CAF" w:rsidRDefault="00FE454A" w:rsidP="00146DB7">
      <w:pPr>
        <w:rPr>
          <w:rFonts w:eastAsiaTheme="minorHAnsi" w:cstheme="minorBidi"/>
          <w:szCs w:val="22"/>
          <w:lang w:val="fr-FR"/>
        </w:rPr>
      </w:pPr>
    </w:p>
    <w:p w:rsidR="00146DB7" w:rsidRPr="00146DB7" w:rsidRDefault="00146DB7" w:rsidP="00146DB7">
      <w:pPr>
        <w:jc w:val="center"/>
        <w:rPr>
          <w:rFonts w:eastAsiaTheme="minorHAnsi" w:cstheme="minorBidi"/>
          <w:szCs w:val="22"/>
        </w:rPr>
      </w:pPr>
      <w:r w:rsidRPr="00146DB7">
        <w:rPr>
          <w:rFonts w:eastAsiaTheme="minorHAnsi" w:cstheme="minorHAnsi"/>
          <w:noProof/>
          <w:color w:val="000000"/>
          <w:szCs w:val="22"/>
          <w:lang w:val="fr-FR"/>
        </w:rPr>
        <w:drawing>
          <wp:inline distT="0" distB="0" distL="0" distR="0" wp14:anchorId="4B485D50" wp14:editId="3230B064">
            <wp:extent cx="5048250" cy="27559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8250" cy="2755900"/>
                    </a:xfrm>
                    <a:prstGeom prst="rect">
                      <a:avLst/>
                    </a:prstGeom>
                    <a:noFill/>
                  </pic:spPr>
                </pic:pic>
              </a:graphicData>
            </a:graphic>
          </wp:inline>
        </w:drawing>
      </w:r>
    </w:p>
    <w:p w:rsidR="00FE454A" w:rsidRDefault="00FE454A" w:rsidP="00146DB7">
      <w:pPr>
        <w:rPr>
          <w:rFonts w:eastAsiaTheme="minorHAnsi" w:cstheme="minorBidi"/>
          <w:szCs w:val="22"/>
        </w:rPr>
      </w:pPr>
    </w:p>
    <w:p w:rsidR="00146DB7" w:rsidRPr="00057CAF" w:rsidRDefault="00146DB7" w:rsidP="00146DB7">
      <w:pPr>
        <w:rPr>
          <w:rFonts w:eastAsiaTheme="minorHAnsi" w:cstheme="minorBidi"/>
          <w:szCs w:val="22"/>
          <w:lang w:val="fr-FR"/>
        </w:rPr>
      </w:pPr>
      <w:r w:rsidRPr="00057CAF">
        <w:rPr>
          <w:rFonts w:eastAsiaTheme="minorHAnsi" w:cstheme="minorBidi"/>
          <w:szCs w:val="22"/>
          <w:lang w:val="fr-FR"/>
        </w:rPr>
        <w:t xml:space="preserve">La réduction de l’effectif de bovins est imputable aux crises sanitaires ayant frappé le secteur de la viande, à la baisse de la demande qui en a résulté ainsi qu’aux quotas laitiers et à l’évolution des prix. Elle se traduit non par une réduction du cheptel des exploitations d’élevage, mais par une réduction du nombre de celles-ci, en termes absolus et relatifs, et plus particulièrement par une réduction de la proportion d’exploitations mixtes en faveur des exploitations spécialisées dans les cultures. </w:t>
      </w:r>
    </w:p>
    <w:p w:rsidR="00FE454A" w:rsidRPr="00057CAF" w:rsidRDefault="00FE454A" w:rsidP="00146DB7">
      <w:pPr>
        <w:rPr>
          <w:rFonts w:eastAsiaTheme="minorHAnsi" w:cstheme="minorBidi"/>
          <w:szCs w:val="22"/>
          <w:lang w:val="fr-FR"/>
        </w:rPr>
      </w:pPr>
    </w:p>
    <w:p w:rsidR="00146DB7" w:rsidRPr="00057CAF" w:rsidRDefault="00146DB7" w:rsidP="00146DB7">
      <w:pPr>
        <w:rPr>
          <w:rFonts w:eastAsiaTheme="minorHAnsi" w:cstheme="minorBidi"/>
          <w:szCs w:val="22"/>
          <w:lang w:val="fr-FR"/>
        </w:rPr>
      </w:pPr>
      <w:r w:rsidRPr="00057CAF">
        <w:rPr>
          <w:rFonts w:eastAsiaTheme="minorHAnsi" w:cstheme="minorBidi"/>
          <w:szCs w:val="22"/>
          <w:lang w:val="fr-FR"/>
        </w:rPr>
        <w:t>Le cheptel moyen par exploitation d’élevage est en effet croissant en raison de leur augmentation de taille moyenne.</w:t>
      </w:r>
    </w:p>
    <w:p w:rsidR="00146DB7" w:rsidRPr="00146DB7" w:rsidRDefault="00146DB7" w:rsidP="00146DB7">
      <w:pPr>
        <w:jc w:val="center"/>
        <w:rPr>
          <w:rFonts w:eastAsiaTheme="minorHAnsi" w:cstheme="minorBidi"/>
          <w:szCs w:val="22"/>
        </w:rPr>
      </w:pPr>
      <w:r w:rsidRPr="00146DB7">
        <w:rPr>
          <w:rFonts w:eastAsiaTheme="minorHAnsi" w:cstheme="minorBidi"/>
          <w:noProof/>
          <w:szCs w:val="22"/>
          <w:lang w:val="fr-FR"/>
        </w:rPr>
        <w:lastRenderedPageBreak/>
        <w:drawing>
          <wp:inline distT="0" distB="0" distL="0" distR="0" wp14:anchorId="10EBAD25" wp14:editId="3C5E1C7D">
            <wp:extent cx="4332605" cy="2760952"/>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4227" cy="2800221"/>
                    </a:xfrm>
                    <a:prstGeom prst="rect">
                      <a:avLst/>
                    </a:prstGeom>
                    <a:noFill/>
                  </pic:spPr>
                </pic:pic>
              </a:graphicData>
            </a:graphic>
          </wp:inline>
        </w:drawing>
      </w:r>
    </w:p>
    <w:p w:rsidR="00146DB7" w:rsidRPr="00146DB7" w:rsidRDefault="00146DB7" w:rsidP="00146DB7">
      <w:pPr>
        <w:rPr>
          <w:rFonts w:eastAsiaTheme="minorHAnsi" w:cstheme="minorBidi"/>
          <w:szCs w:val="22"/>
        </w:rPr>
      </w:pPr>
    </w:p>
    <w:p w:rsidR="00146DB7" w:rsidRPr="00057CAF" w:rsidRDefault="00146DB7" w:rsidP="00146DB7">
      <w:pPr>
        <w:rPr>
          <w:rFonts w:eastAsiaTheme="minorHAnsi" w:cstheme="minorHAnsi"/>
          <w:szCs w:val="22"/>
          <w:lang w:val="fr-FR"/>
        </w:rPr>
      </w:pPr>
      <w:r w:rsidRPr="00057CAF">
        <w:rPr>
          <w:rFonts w:eastAsiaTheme="minorHAnsi" w:cstheme="minorHAnsi"/>
          <w:szCs w:val="22"/>
          <w:lang w:val="fr-FR"/>
        </w:rPr>
        <w:t xml:space="preserve">En revanche, les données sur le chargement général au sein des exploitations spécialisées d’élevage montrent une relative stabilité, avec une tendance d’abord négative jusque 2012, ensuite positive des charges (Figure ci-dessous). </w:t>
      </w:r>
    </w:p>
    <w:p w:rsidR="00FE454A" w:rsidRPr="00057CAF" w:rsidRDefault="00FE454A" w:rsidP="00146DB7">
      <w:pPr>
        <w:rPr>
          <w:rFonts w:eastAsiaTheme="minorHAnsi" w:cstheme="minorHAnsi"/>
          <w:szCs w:val="22"/>
          <w:lang w:val="fr-FR"/>
        </w:rPr>
      </w:pPr>
    </w:p>
    <w:p w:rsidR="00146DB7" w:rsidRPr="00146DB7" w:rsidRDefault="00146DB7" w:rsidP="00146DB7">
      <w:pPr>
        <w:jc w:val="center"/>
        <w:rPr>
          <w:rFonts w:eastAsiaTheme="minorHAnsi" w:cstheme="minorHAnsi"/>
          <w:color w:val="000000"/>
          <w:szCs w:val="22"/>
        </w:rPr>
      </w:pPr>
      <w:r w:rsidRPr="00146DB7">
        <w:rPr>
          <w:rFonts w:eastAsiaTheme="minorHAnsi" w:cstheme="minorHAnsi"/>
          <w:noProof/>
          <w:color w:val="000000"/>
          <w:szCs w:val="22"/>
          <w:lang w:val="fr-FR"/>
        </w:rPr>
        <w:drawing>
          <wp:inline distT="0" distB="0" distL="0" distR="0" wp14:anchorId="0177BC28" wp14:editId="697A0EB7">
            <wp:extent cx="4562475" cy="2755900"/>
            <wp:effectExtent l="0" t="0" r="9525"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62475" cy="2755900"/>
                    </a:xfrm>
                    <a:prstGeom prst="rect">
                      <a:avLst/>
                    </a:prstGeom>
                    <a:noFill/>
                  </pic:spPr>
                </pic:pic>
              </a:graphicData>
            </a:graphic>
          </wp:inline>
        </w:drawing>
      </w:r>
    </w:p>
    <w:p w:rsidR="00146DB7" w:rsidRPr="00146DB7" w:rsidRDefault="00146DB7" w:rsidP="00BF10F0">
      <w:pPr>
        <w:jc w:val="left"/>
        <w:rPr>
          <w:rFonts w:eastAsiaTheme="minorHAnsi" w:cstheme="minorHAnsi"/>
          <w:color w:val="000000"/>
          <w:szCs w:val="22"/>
        </w:rPr>
      </w:pPr>
    </w:p>
    <w:p w:rsidR="00146DB7" w:rsidRPr="00057CAF" w:rsidRDefault="00146DB7" w:rsidP="00146DB7">
      <w:pPr>
        <w:rPr>
          <w:rFonts w:eastAsiaTheme="minorHAnsi" w:cstheme="minorHAnsi"/>
          <w:szCs w:val="22"/>
          <w:lang w:val="fr-FR"/>
        </w:rPr>
      </w:pPr>
      <w:r w:rsidRPr="00057CAF">
        <w:rPr>
          <w:rFonts w:eastAsiaTheme="minorHAnsi" w:cstheme="minorHAnsi"/>
          <w:szCs w:val="22"/>
          <w:lang w:val="fr-FR"/>
        </w:rPr>
        <w:t xml:space="preserve">Les indices de productivité du cheptel (figure ci-dessous), définis comme le rapport entre la production et le cheptel et calculés d’après les données sur l’évolution de l’économie agricole et horticole (DGA, 2006 à 2007 et </w:t>
      </w:r>
      <w:proofErr w:type="spellStart"/>
      <w:r w:rsidRPr="00057CAF">
        <w:rPr>
          <w:rFonts w:eastAsiaTheme="minorHAnsi" w:cstheme="minorHAnsi"/>
          <w:szCs w:val="22"/>
          <w:lang w:val="fr-FR"/>
        </w:rPr>
        <w:t>DGoARNE</w:t>
      </w:r>
      <w:proofErr w:type="spellEnd"/>
      <w:r w:rsidRPr="00057CAF">
        <w:rPr>
          <w:rFonts w:eastAsiaTheme="minorHAnsi" w:cstheme="minorHAnsi"/>
          <w:szCs w:val="22"/>
          <w:lang w:val="fr-FR"/>
        </w:rPr>
        <w:t>, 2008 à 2016), ne montrent guère de tendance à long terme (tandis qu’ils sont influencés à la hausse par la tendance au déstockage du bétail). Certaines inflexions peuvent être dues aux crises sanitaires et aux échanges avec les régions voisines, la production de viande étant mesurée à l’abattoir où peuvent se mélanger des animaux d’origine non wallonne.</w:t>
      </w:r>
    </w:p>
    <w:p w:rsidR="00146DB7" w:rsidRPr="00146DB7" w:rsidRDefault="00146DB7" w:rsidP="00146DB7">
      <w:pPr>
        <w:jc w:val="center"/>
        <w:rPr>
          <w:rFonts w:eastAsiaTheme="minorHAnsi" w:cstheme="minorHAnsi"/>
          <w:szCs w:val="22"/>
        </w:rPr>
      </w:pPr>
      <w:r w:rsidRPr="00146DB7">
        <w:rPr>
          <w:rFonts w:eastAsiaTheme="minorHAnsi" w:cstheme="minorHAnsi"/>
          <w:noProof/>
          <w:szCs w:val="22"/>
          <w:lang w:val="fr-FR"/>
        </w:rPr>
        <w:lastRenderedPageBreak/>
        <w:drawing>
          <wp:inline distT="0" distB="0" distL="0" distR="0" wp14:anchorId="0A936790" wp14:editId="53F8BF86">
            <wp:extent cx="4371340" cy="28289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71340" cy="2828925"/>
                    </a:xfrm>
                    <a:prstGeom prst="rect">
                      <a:avLst/>
                    </a:prstGeom>
                    <a:noFill/>
                  </pic:spPr>
                </pic:pic>
              </a:graphicData>
            </a:graphic>
          </wp:inline>
        </w:drawing>
      </w:r>
    </w:p>
    <w:p w:rsidR="00146DB7" w:rsidRPr="00057CAF" w:rsidRDefault="00146DB7" w:rsidP="00FE454A">
      <w:pPr>
        <w:pStyle w:val="Titre2"/>
        <w:rPr>
          <w:lang w:val="fr-FR"/>
        </w:rPr>
      </w:pPr>
      <w:bookmarkStart w:id="114" w:name="_Toc1055155"/>
      <w:bookmarkStart w:id="115" w:name="_Toc11278977"/>
      <w:bookmarkStart w:id="116" w:name="_Toc11333822"/>
      <w:bookmarkStart w:id="117" w:name="_Toc25688794"/>
      <w:r w:rsidRPr="00057CAF">
        <w:rPr>
          <w:lang w:val="fr-FR"/>
        </w:rPr>
        <w:t xml:space="preserve">2. Impact </w:t>
      </w:r>
      <w:r w:rsidR="002D646D" w:rsidRPr="00057CAF">
        <w:rPr>
          <w:lang w:val="fr-FR"/>
        </w:rPr>
        <w:t>d</w:t>
      </w:r>
      <w:r w:rsidRPr="00057CAF">
        <w:rPr>
          <w:lang w:val="fr-FR"/>
        </w:rPr>
        <w:t>u PDR sur le</w:t>
      </w:r>
      <w:r w:rsidR="009E6A2F" w:rsidRPr="00057CAF">
        <w:rPr>
          <w:lang w:val="fr-FR"/>
        </w:rPr>
        <w:t xml:space="preserve"> che</w:t>
      </w:r>
      <w:r w:rsidRPr="00057CAF">
        <w:rPr>
          <w:lang w:val="fr-FR"/>
        </w:rPr>
        <w:t>ptel bovin</w:t>
      </w:r>
      <w:bookmarkEnd w:id="114"/>
      <w:bookmarkEnd w:id="115"/>
      <w:bookmarkEnd w:id="116"/>
      <w:bookmarkEnd w:id="117"/>
    </w:p>
    <w:p w:rsidR="00146DB7" w:rsidRPr="00057CAF" w:rsidRDefault="00146DB7" w:rsidP="00146DB7">
      <w:pPr>
        <w:autoSpaceDE w:val="0"/>
        <w:autoSpaceDN w:val="0"/>
        <w:adjustRightInd w:val="0"/>
        <w:rPr>
          <w:rFonts w:eastAsiaTheme="minorHAnsi" w:cstheme="minorHAnsi"/>
          <w:b/>
          <w:color w:val="000000"/>
          <w:szCs w:val="22"/>
          <w:u w:val="single"/>
          <w:lang w:val="fr-FR"/>
        </w:rPr>
      </w:pPr>
      <w:r w:rsidRPr="00057CAF">
        <w:rPr>
          <w:rFonts w:eastAsiaTheme="minorHAnsi" w:cstheme="minorHAnsi"/>
          <w:b/>
          <w:color w:val="000000"/>
          <w:szCs w:val="22"/>
          <w:u w:val="single"/>
          <w:lang w:val="fr-FR"/>
        </w:rPr>
        <w:t>a) Effets liés aux mesures limitant les charges</w:t>
      </w:r>
    </w:p>
    <w:p w:rsidR="009E6A2F" w:rsidRPr="00057CAF" w:rsidRDefault="009E6A2F" w:rsidP="00FE454A">
      <w:pPr>
        <w:rPr>
          <w:rFonts w:eastAsiaTheme="minorHAnsi" w:cstheme="minorBidi"/>
          <w:szCs w:val="24"/>
          <w:lang w:val="fr-FR"/>
        </w:rPr>
      </w:pPr>
      <w:r w:rsidRPr="00057CAF">
        <w:rPr>
          <w:rFonts w:eastAsiaTheme="minorHAnsi"/>
          <w:szCs w:val="24"/>
          <w:lang w:val="fr-FR"/>
        </w:rPr>
        <w:t xml:space="preserve">Les principales mesures du PDR limitant la charge </w:t>
      </w:r>
      <w:proofErr w:type="gramStart"/>
      <w:r w:rsidRPr="00057CAF">
        <w:rPr>
          <w:rFonts w:eastAsiaTheme="minorHAnsi"/>
          <w:szCs w:val="24"/>
          <w:lang w:val="fr-FR"/>
        </w:rPr>
        <w:t>sont</w:t>
      </w:r>
      <w:proofErr w:type="gramEnd"/>
      <w:r w:rsidRPr="00057CAF">
        <w:rPr>
          <w:rFonts w:eastAsiaTheme="minorHAnsi"/>
          <w:szCs w:val="24"/>
          <w:lang w:val="fr-FR"/>
        </w:rPr>
        <w:t xml:space="preserve"> MB9 (autonomie fourragère, dans M10) et M11. MB9 limite la charge </w:t>
      </w:r>
      <w:proofErr w:type="gramStart"/>
      <w:r w:rsidRPr="00057CAF">
        <w:rPr>
          <w:rFonts w:eastAsiaTheme="minorHAnsi"/>
          <w:szCs w:val="24"/>
          <w:lang w:val="fr-FR"/>
        </w:rPr>
        <w:t>à  1</w:t>
      </w:r>
      <w:proofErr w:type="gramEnd"/>
      <w:r w:rsidRPr="00057CAF">
        <w:rPr>
          <w:rFonts w:eastAsiaTheme="minorHAnsi"/>
          <w:szCs w:val="24"/>
          <w:lang w:val="fr-FR"/>
        </w:rPr>
        <w:t xml:space="preserve">,4 et 1,8 UGB/ha fourrager selon la variante, et M11 à </w:t>
      </w:r>
      <w:r w:rsidRPr="00057CAF">
        <w:rPr>
          <w:rFonts w:eastAsiaTheme="minorHAnsi" w:cstheme="minorBidi"/>
          <w:szCs w:val="24"/>
          <w:lang w:val="fr-FR"/>
        </w:rPr>
        <w:t>2 UGB/ha total.</w:t>
      </w:r>
    </w:p>
    <w:p w:rsidR="00FE454A" w:rsidRPr="00057CAF" w:rsidRDefault="00FE454A" w:rsidP="00FE454A">
      <w:pPr>
        <w:rPr>
          <w:rFonts w:eastAsiaTheme="minorHAnsi" w:cstheme="minorBidi"/>
          <w:szCs w:val="24"/>
          <w:lang w:val="fr-FR"/>
        </w:rPr>
      </w:pPr>
    </w:p>
    <w:p w:rsidR="009E6A2F" w:rsidRPr="00057CAF" w:rsidRDefault="009E6A2F" w:rsidP="009E6A2F">
      <w:pPr>
        <w:autoSpaceDE w:val="0"/>
        <w:autoSpaceDN w:val="0"/>
        <w:adjustRightInd w:val="0"/>
        <w:rPr>
          <w:rFonts w:eastAsiaTheme="minorHAnsi" w:cstheme="minorHAnsi"/>
          <w:szCs w:val="22"/>
          <w:lang w:val="fr-FR"/>
        </w:rPr>
      </w:pPr>
      <w:r w:rsidRPr="00057CAF">
        <w:rPr>
          <w:rFonts w:eastAsiaTheme="minorHAnsi" w:cstheme="minorHAnsi"/>
          <w:szCs w:val="22"/>
          <w:lang w:val="fr-FR"/>
        </w:rPr>
        <w:t xml:space="preserve">L’inflexion de tendance dans le cheptel et dans les charges (Figures ci-dessus) confirme l’hypothèse d’un </w:t>
      </w:r>
      <w:r w:rsidRPr="00057CAF">
        <w:rPr>
          <w:rFonts w:eastAsiaTheme="minorHAnsi" w:cstheme="minorHAnsi"/>
          <w:b/>
          <w:szCs w:val="22"/>
          <w:lang w:val="fr-FR"/>
        </w:rPr>
        <w:t>effet de telles mesures de limitation de la charge,</w:t>
      </w:r>
      <w:r w:rsidRPr="00057CAF">
        <w:rPr>
          <w:rFonts w:eastAsiaTheme="minorHAnsi" w:cstheme="minorHAnsi"/>
          <w:szCs w:val="22"/>
          <w:lang w:val="fr-FR"/>
        </w:rPr>
        <w:t xml:space="preserve"> </w:t>
      </w:r>
      <w:r w:rsidR="00834BDA" w:rsidRPr="00057CAF">
        <w:rPr>
          <w:rFonts w:eastAsiaTheme="minorHAnsi" w:cstheme="minorHAnsi"/>
          <w:szCs w:val="22"/>
          <w:lang w:val="fr-FR"/>
        </w:rPr>
        <w:t xml:space="preserve">puisque l’année 2012 a été marquée par un moratoire dans le renouvellement des contrats de la mesure </w:t>
      </w:r>
      <w:r w:rsidRPr="00057CAF">
        <w:rPr>
          <w:rFonts w:eastAsiaTheme="minorHAnsi" w:cstheme="minorHAnsi"/>
          <w:szCs w:val="22"/>
          <w:lang w:val="fr-FR"/>
        </w:rPr>
        <w:t>incitant à une réduction de charge (ancienne MAE7)</w:t>
      </w:r>
      <w:r w:rsidR="00834BDA" w:rsidRPr="00057CAF">
        <w:rPr>
          <w:rFonts w:eastAsiaTheme="minorHAnsi" w:cstheme="minorHAnsi"/>
          <w:szCs w:val="22"/>
          <w:lang w:val="fr-FR"/>
        </w:rPr>
        <w:t xml:space="preserve">, qui avaient </w:t>
      </w:r>
      <w:r w:rsidRPr="00057CAF">
        <w:rPr>
          <w:rFonts w:eastAsiaTheme="minorHAnsi" w:cstheme="minorHAnsi"/>
          <w:szCs w:val="22"/>
          <w:lang w:val="fr-FR"/>
        </w:rPr>
        <w:t>augmenté jusqu</w:t>
      </w:r>
      <w:r w:rsidR="00834BDA" w:rsidRPr="00057CAF">
        <w:rPr>
          <w:rFonts w:eastAsiaTheme="minorHAnsi" w:cstheme="minorHAnsi"/>
          <w:szCs w:val="22"/>
          <w:lang w:val="fr-FR"/>
        </w:rPr>
        <w:t>e- là. Paradoxalement donc, le ralentissement récent de la baisse de cheptel confirme l’hypothèse d’un impact du PDR dans le sens de cette baisse (l’impact se mesurant par comparaison avec la situation sans PDR et non la situation d’avant le PDR actuel).</w:t>
      </w:r>
    </w:p>
    <w:p w:rsidR="00FE454A" w:rsidRPr="00057CAF" w:rsidRDefault="00FE454A" w:rsidP="009E6A2F">
      <w:pPr>
        <w:autoSpaceDE w:val="0"/>
        <w:autoSpaceDN w:val="0"/>
        <w:adjustRightInd w:val="0"/>
        <w:rPr>
          <w:rFonts w:eastAsiaTheme="minorHAnsi" w:cstheme="minorHAnsi"/>
          <w:color w:val="000000"/>
          <w:szCs w:val="22"/>
          <w:lang w:val="fr-FR"/>
        </w:rPr>
      </w:pPr>
    </w:p>
    <w:p w:rsidR="009E6A2F" w:rsidRPr="00057CAF" w:rsidRDefault="009E6A2F" w:rsidP="009E6A2F">
      <w:pPr>
        <w:autoSpaceDE w:val="0"/>
        <w:autoSpaceDN w:val="0"/>
        <w:adjustRightInd w:val="0"/>
        <w:rPr>
          <w:rFonts w:eastAsiaTheme="minorHAnsi" w:cstheme="minorHAnsi"/>
          <w:color w:val="000000"/>
          <w:szCs w:val="22"/>
          <w:lang w:val="fr-FR"/>
        </w:rPr>
      </w:pPr>
      <w:r w:rsidRPr="00057CAF">
        <w:rPr>
          <w:rFonts w:eastAsiaTheme="minorHAnsi" w:cstheme="minorHAnsi"/>
          <w:color w:val="000000"/>
          <w:szCs w:val="22"/>
          <w:lang w:val="fr-FR"/>
        </w:rPr>
        <w:t xml:space="preserve">Depuis la fin du PDR précédent, la situation de non renouvellement du PDR aurait très vraisemblablement été marquée par une croissance du cheptel dans les exploitations autrefois bénéficiaires de M7 (faible charge) ou de la MAE11 (agriculture biologique) et dans </w:t>
      </w:r>
      <w:proofErr w:type="gramStart"/>
      <w:r w:rsidRPr="00057CAF">
        <w:rPr>
          <w:rFonts w:eastAsiaTheme="minorHAnsi" w:cstheme="minorHAnsi"/>
          <w:color w:val="000000"/>
          <w:szCs w:val="22"/>
          <w:lang w:val="fr-FR"/>
        </w:rPr>
        <w:t>certaines  exploitations</w:t>
      </w:r>
      <w:proofErr w:type="gramEnd"/>
      <w:r w:rsidRPr="00057CAF">
        <w:rPr>
          <w:rFonts w:eastAsiaTheme="minorHAnsi" w:cstheme="minorHAnsi"/>
          <w:color w:val="000000"/>
          <w:szCs w:val="22"/>
          <w:lang w:val="fr-FR"/>
        </w:rPr>
        <w:t xml:space="preserve"> non bénéficiaires qui, visant l’éligibilité à M7 ou MAE11, réduisaient leur bétail à cette fin. Mais rien n’indique que la charge y aurait atteint le niveau moyen constaté dans les terres sans contrat, car il s’agit plutôt de terres peu propices à l’intensification. Il est vraisemblable que dans un scénario sans PDR l’agriculture biologique ne s’éteindrait pas complètement (gardant le plafond de 2 UGB/ha).  Par ailleurs l’élevage se serait retiré de milieux naturels autrefois gérés avec l’appui de M7. </w:t>
      </w:r>
      <w:proofErr w:type="gramStart"/>
      <w:r w:rsidRPr="00057CAF">
        <w:rPr>
          <w:rFonts w:eastAsiaTheme="minorHAnsi" w:cstheme="minorHAnsi"/>
          <w:color w:val="000000"/>
          <w:szCs w:val="22"/>
          <w:lang w:val="fr-FR"/>
        </w:rPr>
        <w:t>Enfin  il</w:t>
      </w:r>
      <w:proofErr w:type="gramEnd"/>
      <w:r w:rsidRPr="00057CAF">
        <w:rPr>
          <w:rFonts w:eastAsiaTheme="minorHAnsi" w:cstheme="minorHAnsi"/>
          <w:color w:val="000000"/>
          <w:szCs w:val="22"/>
          <w:lang w:val="fr-FR"/>
        </w:rPr>
        <w:t xml:space="preserve"> est possible qu’en l’absence de PDR des exploitations auraient été moins renforcées dans leur capacité à accroître leur troupeau, ce qui aurait joué à la baisse sur le cheptel total. </w:t>
      </w:r>
    </w:p>
    <w:p w:rsidR="00FE454A" w:rsidRPr="00057CAF" w:rsidRDefault="00FE454A" w:rsidP="009E6A2F">
      <w:pPr>
        <w:autoSpaceDE w:val="0"/>
        <w:autoSpaceDN w:val="0"/>
        <w:adjustRightInd w:val="0"/>
        <w:rPr>
          <w:rFonts w:eastAsiaTheme="minorHAnsi" w:cstheme="minorHAnsi"/>
          <w:color w:val="000000"/>
          <w:szCs w:val="22"/>
          <w:lang w:val="fr-FR"/>
        </w:rPr>
      </w:pPr>
    </w:p>
    <w:p w:rsidR="009E6A2F" w:rsidRPr="00057CAF" w:rsidRDefault="009E6A2F" w:rsidP="009E6A2F">
      <w:pPr>
        <w:autoSpaceDE w:val="0"/>
        <w:autoSpaceDN w:val="0"/>
        <w:adjustRightInd w:val="0"/>
        <w:rPr>
          <w:rFonts w:eastAsiaTheme="minorHAnsi" w:cstheme="minorHAnsi"/>
          <w:szCs w:val="22"/>
          <w:lang w:val="fr-FR"/>
        </w:rPr>
      </w:pPr>
      <w:r w:rsidRPr="00057CAF">
        <w:rPr>
          <w:rFonts w:eastAsiaTheme="minorHAnsi" w:cstheme="minorHAnsi"/>
          <w:color w:val="000000"/>
          <w:szCs w:val="22"/>
          <w:lang w:val="fr-FR"/>
        </w:rPr>
        <w:t xml:space="preserve">Cela signifie qu’il serait hasardeux de quantifier l’impact par une multiplication des superficies en MB9 ou M11 par un niveau de réduction de charge par rapport à une norme préétablie, pour deux raisons majeures : (a) les différences entre le scénario réel et le </w:t>
      </w:r>
      <w:r w:rsidRPr="00057CAF">
        <w:rPr>
          <w:rFonts w:eastAsiaTheme="minorHAnsi" w:cstheme="minorHAnsi"/>
          <w:b/>
          <w:color w:val="000000"/>
          <w:szCs w:val="22"/>
          <w:lang w:val="fr-FR"/>
        </w:rPr>
        <w:t>scénario de référence ne concernent pas uniquement les surfaces de mise en œuvre</w:t>
      </w:r>
      <w:r w:rsidRPr="00057CAF">
        <w:rPr>
          <w:rFonts w:eastAsiaTheme="minorHAnsi" w:cstheme="minorHAnsi"/>
          <w:color w:val="000000"/>
          <w:szCs w:val="22"/>
          <w:lang w:val="fr-FR"/>
        </w:rPr>
        <w:t xml:space="preserve"> du PDR et (b) le niveau auquel l’effectif se serait stabilisé dans le scénario de référence est inconnu. </w:t>
      </w:r>
      <w:r w:rsidRPr="00057CAF">
        <w:rPr>
          <w:rFonts w:eastAsiaTheme="minorHAnsi" w:cstheme="minorHAnsi"/>
          <w:szCs w:val="22"/>
          <w:lang w:val="fr-FR"/>
        </w:rPr>
        <w:t xml:space="preserve">Au total il apparait donc que le PDR diminue probablement le cheptel bovin, bien que certains effets soient hypothétiques et le bilan non quantifié. </w:t>
      </w:r>
    </w:p>
    <w:p w:rsidR="009E6A2F" w:rsidRPr="00057CAF" w:rsidRDefault="009E6A2F" w:rsidP="009E6A2F">
      <w:pPr>
        <w:autoSpaceDE w:val="0"/>
        <w:autoSpaceDN w:val="0"/>
        <w:adjustRightInd w:val="0"/>
        <w:rPr>
          <w:rFonts w:eastAsiaTheme="minorHAnsi" w:cstheme="minorHAnsi"/>
          <w:szCs w:val="22"/>
          <w:lang w:val="fr-FR"/>
        </w:rPr>
      </w:pPr>
      <w:r w:rsidRPr="00057CAF">
        <w:rPr>
          <w:rFonts w:eastAsiaTheme="minorHAnsi" w:cstheme="minorHAnsi"/>
          <w:szCs w:val="22"/>
          <w:lang w:val="fr-FR"/>
        </w:rPr>
        <w:lastRenderedPageBreak/>
        <w:t xml:space="preserve">Afin de néanmoins fixer les idées sur un impact quantitatif possible, une simulation est présentée ci-dessous sous les hypothèses suivantes : (1) pas d’effet autre que ceux de MB9 et M11 ; (2) pas d’effets de MB9 et M11 en dehors des surfaces de mise en œuvre ; (3) absence de réduction (significative) du bétail dans les milieux naturels dans le scénario sans PDR ; (4) MB9 </w:t>
      </w:r>
      <w:r w:rsidR="00D71848" w:rsidRPr="00057CAF">
        <w:rPr>
          <w:rFonts w:eastAsiaTheme="minorHAnsi" w:cstheme="minorHAnsi"/>
          <w:szCs w:val="22"/>
          <w:lang w:val="fr-FR"/>
        </w:rPr>
        <w:t xml:space="preserve">est </w:t>
      </w:r>
      <w:r w:rsidRPr="00057CAF">
        <w:rPr>
          <w:rFonts w:eastAsiaTheme="minorHAnsi" w:cstheme="minorHAnsi"/>
          <w:szCs w:val="22"/>
          <w:lang w:val="fr-FR"/>
        </w:rPr>
        <w:t>mis</w:t>
      </w:r>
      <w:r w:rsidR="00D71848" w:rsidRPr="00057CAF">
        <w:rPr>
          <w:rFonts w:eastAsiaTheme="minorHAnsi" w:cstheme="minorHAnsi"/>
          <w:szCs w:val="22"/>
          <w:lang w:val="fr-FR"/>
        </w:rPr>
        <w:t>e</w:t>
      </w:r>
      <w:r w:rsidRPr="00057CAF">
        <w:rPr>
          <w:rFonts w:eastAsiaTheme="minorHAnsi" w:cstheme="minorHAnsi"/>
          <w:szCs w:val="22"/>
          <w:lang w:val="fr-FR"/>
        </w:rPr>
        <w:t xml:space="preserve"> en œuvre avec la charge maximum autorisée </w:t>
      </w:r>
      <w:r w:rsidR="00D71848" w:rsidRPr="00057CAF">
        <w:rPr>
          <w:rFonts w:eastAsiaTheme="minorHAnsi" w:cstheme="minorHAnsi"/>
          <w:szCs w:val="22"/>
          <w:lang w:val="fr-FR"/>
        </w:rPr>
        <w:t>et M11 en appliquant aux seules surfaces fourragères la charge maximum autorisée</w:t>
      </w:r>
      <w:r w:rsidRPr="00057CAF">
        <w:rPr>
          <w:rFonts w:eastAsiaTheme="minorHAnsi" w:cstheme="minorHAnsi"/>
          <w:szCs w:val="22"/>
          <w:lang w:val="fr-FR"/>
        </w:rPr>
        <w:t>; (5) en l’absence de PDR la charge sur les superficies qui, en présence du PDR, sont en MB9 et M11</w:t>
      </w:r>
      <w:r w:rsidR="00FA0575" w:rsidRPr="00057CAF">
        <w:rPr>
          <w:rFonts w:eastAsiaTheme="minorHAnsi" w:cstheme="minorHAnsi"/>
          <w:szCs w:val="22"/>
          <w:lang w:val="fr-FR"/>
        </w:rPr>
        <w:t>,</w:t>
      </w:r>
      <w:r w:rsidRPr="00057CAF">
        <w:rPr>
          <w:rFonts w:eastAsiaTheme="minorHAnsi" w:cstheme="minorHAnsi"/>
          <w:szCs w:val="22"/>
          <w:lang w:val="fr-FR"/>
        </w:rPr>
        <w:t xml:space="preserve"> se stabilise à 2,5 UGB/ha</w:t>
      </w:r>
      <w:r w:rsidR="00FA0575" w:rsidRPr="00057CAF">
        <w:rPr>
          <w:rFonts w:eastAsiaTheme="minorHAnsi" w:cstheme="minorHAnsi"/>
          <w:szCs w:val="22"/>
          <w:lang w:val="fr-FR"/>
        </w:rPr>
        <w:t xml:space="preserve"> (de superficie fourragère)</w:t>
      </w:r>
      <w:r w:rsidRPr="00057CAF">
        <w:rPr>
          <w:rFonts w:eastAsiaTheme="minorHAnsi" w:cstheme="minorHAnsi"/>
          <w:szCs w:val="22"/>
          <w:lang w:val="fr-FR"/>
        </w:rPr>
        <w:t>.  Il apparait que 60</w:t>
      </w:r>
      <w:r w:rsidR="00FA0575" w:rsidRPr="00057CAF">
        <w:rPr>
          <w:rFonts w:eastAsiaTheme="minorHAnsi" w:cstheme="minorHAnsi"/>
          <w:szCs w:val="22"/>
          <w:lang w:val="fr-FR"/>
        </w:rPr>
        <w:t xml:space="preserve"> </w:t>
      </w:r>
      <w:r w:rsidRPr="00057CAF">
        <w:rPr>
          <w:rFonts w:eastAsiaTheme="minorHAnsi" w:cstheme="minorHAnsi"/>
          <w:szCs w:val="22"/>
          <w:lang w:val="fr-FR"/>
        </w:rPr>
        <w:t>000 UGB est un ordre de grandeur possible.</w:t>
      </w:r>
    </w:p>
    <w:p w:rsidR="00FE454A" w:rsidRPr="00057CAF" w:rsidRDefault="00FE454A" w:rsidP="009E6A2F">
      <w:pPr>
        <w:autoSpaceDE w:val="0"/>
        <w:autoSpaceDN w:val="0"/>
        <w:adjustRightInd w:val="0"/>
        <w:rPr>
          <w:rFonts w:eastAsiaTheme="minorHAnsi" w:cstheme="minorHAnsi"/>
          <w:szCs w:val="22"/>
          <w:lang w:val="fr-FR"/>
        </w:rPr>
      </w:pPr>
    </w:p>
    <w:tbl>
      <w:tblPr>
        <w:tblW w:w="8931"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5"/>
        <w:gridCol w:w="2977"/>
        <w:gridCol w:w="1984"/>
        <w:gridCol w:w="1985"/>
      </w:tblGrid>
      <w:tr w:rsidR="009E6A2F" w:rsidRPr="00146DB7" w:rsidTr="00FE454A">
        <w:trPr>
          <w:trHeight w:val="340"/>
        </w:trPr>
        <w:tc>
          <w:tcPr>
            <w:tcW w:w="1985" w:type="dxa"/>
            <w:shd w:val="clear" w:color="auto" w:fill="A50021"/>
            <w:vAlign w:val="center"/>
          </w:tcPr>
          <w:p w:rsidR="009E6A2F" w:rsidRPr="00146DB7" w:rsidRDefault="009E6A2F" w:rsidP="004E74C6">
            <w:pPr>
              <w:jc w:val="center"/>
              <w:rPr>
                <w:rFonts w:eastAsiaTheme="minorHAnsi" w:cstheme="minorBidi"/>
                <w:sz w:val="20"/>
                <w:szCs w:val="22"/>
              </w:rPr>
            </w:pPr>
            <w:proofErr w:type="spellStart"/>
            <w:r w:rsidRPr="00146DB7">
              <w:rPr>
                <w:rFonts w:eastAsiaTheme="minorHAnsi" w:cstheme="minorBidi"/>
                <w:sz w:val="20"/>
                <w:szCs w:val="22"/>
              </w:rPr>
              <w:t>Catégorie</w:t>
            </w:r>
            <w:proofErr w:type="spellEnd"/>
          </w:p>
        </w:tc>
        <w:tc>
          <w:tcPr>
            <w:tcW w:w="2977" w:type="dxa"/>
            <w:shd w:val="clear" w:color="auto" w:fill="A50021"/>
            <w:vAlign w:val="center"/>
          </w:tcPr>
          <w:p w:rsidR="009E6A2F" w:rsidRPr="00057CAF" w:rsidRDefault="009E6A2F" w:rsidP="004E74C6">
            <w:pPr>
              <w:jc w:val="center"/>
              <w:rPr>
                <w:rFonts w:eastAsiaTheme="minorHAnsi" w:cstheme="minorBidi"/>
                <w:sz w:val="20"/>
                <w:szCs w:val="22"/>
                <w:lang w:val="fr-FR"/>
              </w:rPr>
            </w:pPr>
            <w:r w:rsidRPr="00057CAF">
              <w:rPr>
                <w:rFonts w:eastAsiaTheme="minorHAnsi" w:cstheme="minorBidi"/>
                <w:sz w:val="20"/>
                <w:szCs w:val="22"/>
                <w:lang w:val="fr-FR"/>
              </w:rPr>
              <w:t>Différence de charge (UGB/ha)</w:t>
            </w:r>
          </w:p>
        </w:tc>
        <w:tc>
          <w:tcPr>
            <w:tcW w:w="1984" w:type="dxa"/>
            <w:shd w:val="clear" w:color="auto" w:fill="A50021"/>
            <w:vAlign w:val="center"/>
          </w:tcPr>
          <w:p w:rsidR="009E6A2F" w:rsidRPr="00CF27BC" w:rsidRDefault="009E6A2F" w:rsidP="004E74C6">
            <w:pPr>
              <w:jc w:val="center"/>
              <w:rPr>
                <w:rFonts w:eastAsiaTheme="minorHAnsi" w:cstheme="minorBidi"/>
                <w:sz w:val="20"/>
                <w:szCs w:val="22"/>
              </w:rPr>
            </w:pPr>
            <w:proofErr w:type="spellStart"/>
            <w:r w:rsidRPr="00CF27BC">
              <w:rPr>
                <w:rFonts w:eastAsiaTheme="minorHAnsi" w:cstheme="minorBidi"/>
                <w:sz w:val="20"/>
                <w:szCs w:val="22"/>
              </w:rPr>
              <w:t>Superficie</w:t>
            </w:r>
            <w:proofErr w:type="spellEnd"/>
            <w:r>
              <w:rPr>
                <w:rFonts w:eastAsiaTheme="minorHAnsi" w:cstheme="minorBidi"/>
                <w:sz w:val="20"/>
                <w:szCs w:val="22"/>
              </w:rPr>
              <w:t xml:space="preserve"> (</w:t>
            </w:r>
            <w:r w:rsidRPr="00CF27BC">
              <w:rPr>
                <w:rFonts w:eastAsiaTheme="minorHAnsi" w:cstheme="minorBidi"/>
                <w:sz w:val="20"/>
                <w:szCs w:val="22"/>
              </w:rPr>
              <w:t>ha</w:t>
            </w:r>
            <w:r>
              <w:rPr>
                <w:rFonts w:eastAsiaTheme="minorHAnsi" w:cstheme="minorBidi"/>
                <w:sz w:val="20"/>
                <w:szCs w:val="22"/>
              </w:rPr>
              <w:t>)</w:t>
            </w:r>
          </w:p>
        </w:tc>
        <w:tc>
          <w:tcPr>
            <w:tcW w:w="1985" w:type="dxa"/>
            <w:shd w:val="clear" w:color="auto" w:fill="A50021"/>
            <w:vAlign w:val="center"/>
          </w:tcPr>
          <w:p w:rsidR="009E6A2F" w:rsidRPr="00CF27BC" w:rsidRDefault="009E6A2F" w:rsidP="004E74C6">
            <w:pPr>
              <w:jc w:val="center"/>
              <w:rPr>
                <w:rFonts w:eastAsiaTheme="minorHAnsi" w:cstheme="minorBidi"/>
                <w:sz w:val="20"/>
                <w:szCs w:val="22"/>
              </w:rPr>
            </w:pPr>
            <w:proofErr w:type="spellStart"/>
            <w:r w:rsidRPr="00CF27BC">
              <w:rPr>
                <w:rFonts w:eastAsiaTheme="minorHAnsi" w:cstheme="minorBidi"/>
                <w:sz w:val="20"/>
                <w:szCs w:val="22"/>
              </w:rPr>
              <w:t>Nombre</w:t>
            </w:r>
            <w:proofErr w:type="spellEnd"/>
            <w:r w:rsidRPr="00CF27BC">
              <w:rPr>
                <w:rFonts w:eastAsiaTheme="minorHAnsi" w:cstheme="minorBidi"/>
                <w:sz w:val="20"/>
                <w:szCs w:val="22"/>
              </w:rPr>
              <w:t xml:space="preserve"> UGB</w:t>
            </w:r>
          </w:p>
        </w:tc>
      </w:tr>
      <w:tr w:rsidR="009E6A2F" w:rsidRPr="00146DB7" w:rsidTr="004E74C6">
        <w:trPr>
          <w:trHeight w:val="362"/>
        </w:trPr>
        <w:tc>
          <w:tcPr>
            <w:tcW w:w="1985" w:type="dxa"/>
            <w:vAlign w:val="center"/>
          </w:tcPr>
          <w:p w:rsidR="009E6A2F" w:rsidRPr="00146DB7" w:rsidRDefault="009E6A2F" w:rsidP="004E74C6">
            <w:pPr>
              <w:jc w:val="center"/>
              <w:rPr>
                <w:rFonts w:eastAsiaTheme="minorHAnsi" w:cstheme="minorBidi"/>
                <w:sz w:val="20"/>
                <w:szCs w:val="22"/>
              </w:rPr>
            </w:pPr>
            <w:r w:rsidRPr="00146DB7">
              <w:rPr>
                <w:rFonts w:eastAsiaTheme="minorHAnsi" w:cstheme="minorBidi"/>
                <w:sz w:val="20"/>
                <w:szCs w:val="22"/>
              </w:rPr>
              <w:t xml:space="preserve">MB9 – </w:t>
            </w:r>
            <w:proofErr w:type="spellStart"/>
            <w:r w:rsidRPr="00146DB7">
              <w:rPr>
                <w:rFonts w:eastAsiaTheme="minorHAnsi" w:cstheme="minorBidi"/>
                <w:sz w:val="20"/>
                <w:szCs w:val="22"/>
              </w:rPr>
              <w:t>variante</w:t>
            </w:r>
            <w:proofErr w:type="spellEnd"/>
            <w:r w:rsidRPr="00146DB7">
              <w:rPr>
                <w:rFonts w:eastAsiaTheme="minorHAnsi" w:cstheme="minorBidi"/>
                <w:sz w:val="20"/>
                <w:szCs w:val="22"/>
              </w:rPr>
              <w:t xml:space="preserve"> 1,4</w:t>
            </w:r>
          </w:p>
        </w:tc>
        <w:tc>
          <w:tcPr>
            <w:tcW w:w="2977" w:type="dxa"/>
            <w:vAlign w:val="center"/>
          </w:tcPr>
          <w:p w:rsidR="009E6A2F" w:rsidRPr="00146DB7" w:rsidRDefault="009E6A2F" w:rsidP="004E74C6">
            <w:pPr>
              <w:jc w:val="center"/>
              <w:rPr>
                <w:rFonts w:eastAsiaTheme="minorHAnsi" w:cstheme="minorBidi"/>
                <w:sz w:val="20"/>
                <w:szCs w:val="22"/>
              </w:rPr>
            </w:pPr>
            <w:r w:rsidRPr="00146DB7">
              <w:rPr>
                <w:rFonts w:eastAsiaTheme="minorHAnsi" w:cstheme="minorBidi"/>
                <w:sz w:val="20"/>
                <w:szCs w:val="22"/>
              </w:rPr>
              <w:t>1,1</w:t>
            </w:r>
          </w:p>
        </w:tc>
        <w:tc>
          <w:tcPr>
            <w:tcW w:w="1984" w:type="dxa"/>
            <w:vAlign w:val="center"/>
          </w:tcPr>
          <w:p w:rsidR="009E6A2F" w:rsidRPr="00CF27BC" w:rsidRDefault="009E6A2F" w:rsidP="004E74C6">
            <w:pPr>
              <w:jc w:val="center"/>
              <w:rPr>
                <w:rFonts w:eastAsiaTheme="minorHAnsi" w:cstheme="minorBidi"/>
                <w:sz w:val="20"/>
                <w:szCs w:val="22"/>
              </w:rPr>
            </w:pPr>
            <w:r w:rsidRPr="00CF27BC">
              <w:rPr>
                <w:rFonts w:eastAsiaTheme="minorHAnsi" w:cstheme="minorBidi"/>
                <w:sz w:val="20"/>
                <w:szCs w:val="22"/>
              </w:rPr>
              <w:t>36112,5</w:t>
            </w:r>
          </w:p>
        </w:tc>
        <w:tc>
          <w:tcPr>
            <w:tcW w:w="1985" w:type="dxa"/>
            <w:vAlign w:val="center"/>
          </w:tcPr>
          <w:p w:rsidR="009E6A2F" w:rsidRPr="00CF27BC" w:rsidRDefault="009E6A2F" w:rsidP="004E74C6">
            <w:pPr>
              <w:jc w:val="center"/>
              <w:rPr>
                <w:rFonts w:eastAsiaTheme="minorHAnsi" w:cstheme="minorBidi"/>
                <w:sz w:val="20"/>
                <w:szCs w:val="22"/>
              </w:rPr>
            </w:pPr>
            <w:r w:rsidRPr="00CF27BC">
              <w:rPr>
                <w:rFonts w:eastAsiaTheme="minorHAnsi" w:cstheme="minorBidi"/>
                <w:sz w:val="20"/>
                <w:szCs w:val="22"/>
              </w:rPr>
              <w:t>34024</w:t>
            </w:r>
          </w:p>
        </w:tc>
      </w:tr>
      <w:tr w:rsidR="009E6A2F" w:rsidRPr="00146DB7" w:rsidTr="004E74C6">
        <w:trPr>
          <w:trHeight w:val="557"/>
        </w:trPr>
        <w:tc>
          <w:tcPr>
            <w:tcW w:w="1985" w:type="dxa"/>
            <w:vAlign w:val="center"/>
          </w:tcPr>
          <w:p w:rsidR="009E6A2F" w:rsidRPr="00146DB7" w:rsidRDefault="009E6A2F" w:rsidP="004E74C6">
            <w:pPr>
              <w:jc w:val="center"/>
              <w:rPr>
                <w:rFonts w:eastAsiaTheme="minorHAnsi" w:cstheme="minorBidi"/>
                <w:sz w:val="20"/>
                <w:szCs w:val="22"/>
              </w:rPr>
            </w:pPr>
            <w:r w:rsidRPr="00146DB7">
              <w:rPr>
                <w:rFonts w:eastAsiaTheme="minorHAnsi" w:cstheme="minorBidi"/>
                <w:sz w:val="20"/>
                <w:szCs w:val="22"/>
              </w:rPr>
              <w:t xml:space="preserve">MB9 – </w:t>
            </w:r>
            <w:proofErr w:type="spellStart"/>
            <w:r w:rsidRPr="00146DB7">
              <w:rPr>
                <w:rFonts w:eastAsiaTheme="minorHAnsi" w:cstheme="minorBidi"/>
                <w:sz w:val="20"/>
                <w:szCs w:val="22"/>
              </w:rPr>
              <w:t>variante</w:t>
            </w:r>
            <w:proofErr w:type="spellEnd"/>
            <w:r w:rsidRPr="00146DB7">
              <w:rPr>
                <w:rFonts w:eastAsiaTheme="minorHAnsi" w:cstheme="minorBidi"/>
                <w:sz w:val="20"/>
                <w:szCs w:val="22"/>
              </w:rPr>
              <w:t xml:space="preserve"> 1,8</w:t>
            </w:r>
          </w:p>
        </w:tc>
        <w:tc>
          <w:tcPr>
            <w:tcW w:w="2977" w:type="dxa"/>
            <w:vAlign w:val="center"/>
          </w:tcPr>
          <w:p w:rsidR="009E6A2F" w:rsidRPr="00146DB7" w:rsidRDefault="009E6A2F" w:rsidP="004E74C6">
            <w:pPr>
              <w:jc w:val="center"/>
              <w:rPr>
                <w:rFonts w:eastAsiaTheme="minorHAnsi" w:cstheme="minorBidi"/>
                <w:sz w:val="20"/>
                <w:szCs w:val="22"/>
              </w:rPr>
            </w:pPr>
            <w:r w:rsidRPr="00146DB7">
              <w:rPr>
                <w:rFonts w:eastAsiaTheme="minorHAnsi" w:cstheme="minorBidi"/>
                <w:sz w:val="20"/>
                <w:szCs w:val="22"/>
              </w:rPr>
              <w:t>0,7</w:t>
            </w:r>
          </w:p>
        </w:tc>
        <w:tc>
          <w:tcPr>
            <w:tcW w:w="1984" w:type="dxa"/>
            <w:vAlign w:val="center"/>
          </w:tcPr>
          <w:p w:rsidR="009E6A2F" w:rsidRPr="00CF27BC" w:rsidRDefault="009E6A2F" w:rsidP="004E74C6">
            <w:pPr>
              <w:jc w:val="center"/>
              <w:rPr>
                <w:rFonts w:eastAsiaTheme="minorHAnsi" w:cstheme="minorBidi"/>
                <w:sz w:val="20"/>
                <w:szCs w:val="22"/>
              </w:rPr>
            </w:pPr>
            <w:r w:rsidRPr="00CF27BC">
              <w:rPr>
                <w:rFonts w:eastAsiaTheme="minorHAnsi" w:cstheme="minorBidi"/>
                <w:sz w:val="20"/>
                <w:szCs w:val="22"/>
              </w:rPr>
              <w:t>7839</w:t>
            </w:r>
          </w:p>
        </w:tc>
        <w:tc>
          <w:tcPr>
            <w:tcW w:w="1985" w:type="dxa"/>
            <w:vAlign w:val="center"/>
          </w:tcPr>
          <w:p w:rsidR="009E6A2F" w:rsidRPr="00CF27BC" w:rsidRDefault="009E6A2F" w:rsidP="004E74C6">
            <w:pPr>
              <w:jc w:val="center"/>
              <w:rPr>
                <w:rFonts w:eastAsiaTheme="minorHAnsi" w:cstheme="minorBidi"/>
                <w:sz w:val="20"/>
                <w:szCs w:val="22"/>
              </w:rPr>
            </w:pPr>
            <w:r w:rsidRPr="00CF27BC">
              <w:rPr>
                <w:rFonts w:eastAsiaTheme="minorHAnsi" w:cstheme="minorBidi"/>
                <w:sz w:val="20"/>
                <w:szCs w:val="22"/>
              </w:rPr>
              <w:t>5486</w:t>
            </w:r>
          </w:p>
        </w:tc>
      </w:tr>
      <w:tr w:rsidR="009E6A2F" w:rsidRPr="00146DB7" w:rsidTr="004E74C6">
        <w:trPr>
          <w:trHeight w:val="557"/>
        </w:trPr>
        <w:tc>
          <w:tcPr>
            <w:tcW w:w="1985" w:type="dxa"/>
            <w:vAlign w:val="center"/>
          </w:tcPr>
          <w:p w:rsidR="009E6A2F" w:rsidRPr="00146DB7" w:rsidRDefault="009E6A2F" w:rsidP="004E74C6">
            <w:pPr>
              <w:jc w:val="center"/>
              <w:rPr>
                <w:rFonts w:eastAsiaTheme="minorHAnsi" w:cstheme="minorBidi"/>
                <w:sz w:val="20"/>
                <w:szCs w:val="22"/>
              </w:rPr>
            </w:pPr>
            <w:r w:rsidRPr="00146DB7">
              <w:rPr>
                <w:rFonts w:eastAsiaTheme="minorHAnsi" w:cstheme="minorBidi"/>
                <w:sz w:val="20"/>
                <w:szCs w:val="22"/>
              </w:rPr>
              <w:t>M11 sans MB9</w:t>
            </w:r>
          </w:p>
        </w:tc>
        <w:tc>
          <w:tcPr>
            <w:tcW w:w="2977" w:type="dxa"/>
            <w:vAlign w:val="center"/>
          </w:tcPr>
          <w:p w:rsidR="009E6A2F" w:rsidRPr="00146DB7" w:rsidRDefault="009E6A2F" w:rsidP="004E74C6">
            <w:pPr>
              <w:jc w:val="center"/>
              <w:rPr>
                <w:rFonts w:eastAsiaTheme="minorHAnsi" w:cstheme="minorBidi"/>
                <w:sz w:val="20"/>
                <w:szCs w:val="22"/>
              </w:rPr>
            </w:pPr>
            <w:r w:rsidRPr="00146DB7">
              <w:rPr>
                <w:rFonts w:eastAsiaTheme="minorHAnsi" w:cstheme="minorBidi"/>
                <w:sz w:val="20"/>
                <w:szCs w:val="22"/>
              </w:rPr>
              <w:t>0,5</w:t>
            </w:r>
          </w:p>
        </w:tc>
        <w:tc>
          <w:tcPr>
            <w:tcW w:w="1984" w:type="dxa"/>
            <w:vAlign w:val="center"/>
          </w:tcPr>
          <w:p w:rsidR="009E6A2F" w:rsidRPr="00CF27BC" w:rsidRDefault="009E6A2F" w:rsidP="004E74C6">
            <w:pPr>
              <w:jc w:val="center"/>
              <w:rPr>
                <w:rFonts w:eastAsiaTheme="minorHAnsi" w:cstheme="minorBidi"/>
                <w:sz w:val="20"/>
                <w:szCs w:val="22"/>
              </w:rPr>
            </w:pPr>
            <w:r w:rsidRPr="00CF27BC">
              <w:rPr>
                <w:rFonts w:eastAsiaTheme="minorHAnsi" w:cstheme="minorBidi"/>
                <w:sz w:val="20"/>
                <w:szCs w:val="22"/>
              </w:rPr>
              <w:t>41529</w:t>
            </w:r>
          </w:p>
        </w:tc>
        <w:tc>
          <w:tcPr>
            <w:tcW w:w="1985" w:type="dxa"/>
            <w:vAlign w:val="center"/>
          </w:tcPr>
          <w:p w:rsidR="009E6A2F" w:rsidRPr="00CF27BC" w:rsidRDefault="009E6A2F" w:rsidP="004E74C6">
            <w:pPr>
              <w:jc w:val="center"/>
              <w:rPr>
                <w:rFonts w:eastAsiaTheme="minorHAnsi" w:cstheme="minorBidi"/>
                <w:sz w:val="20"/>
                <w:szCs w:val="22"/>
              </w:rPr>
            </w:pPr>
            <w:r w:rsidRPr="00CF27BC">
              <w:rPr>
                <w:rFonts w:eastAsiaTheme="minorHAnsi" w:cstheme="minorBidi"/>
                <w:sz w:val="20"/>
                <w:szCs w:val="22"/>
              </w:rPr>
              <w:t>20764</w:t>
            </w:r>
          </w:p>
        </w:tc>
      </w:tr>
      <w:tr w:rsidR="009E6A2F" w:rsidRPr="00146DB7" w:rsidTr="004E74C6">
        <w:trPr>
          <w:trHeight w:val="270"/>
        </w:trPr>
        <w:tc>
          <w:tcPr>
            <w:tcW w:w="1985" w:type="dxa"/>
            <w:vAlign w:val="center"/>
          </w:tcPr>
          <w:p w:rsidR="009E6A2F" w:rsidRPr="00146DB7" w:rsidRDefault="009E6A2F" w:rsidP="004E74C6">
            <w:pPr>
              <w:jc w:val="center"/>
              <w:rPr>
                <w:rFonts w:eastAsiaTheme="minorHAnsi" w:cstheme="minorBidi"/>
                <w:sz w:val="20"/>
                <w:szCs w:val="22"/>
              </w:rPr>
            </w:pPr>
            <w:r w:rsidRPr="00146DB7">
              <w:rPr>
                <w:rFonts w:eastAsiaTheme="minorHAnsi" w:cstheme="minorBidi"/>
                <w:sz w:val="20"/>
                <w:szCs w:val="22"/>
              </w:rPr>
              <w:t>Total</w:t>
            </w:r>
          </w:p>
        </w:tc>
        <w:tc>
          <w:tcPr>
            <w:tcW w:w="2977" w:type="dxa"/>
          </w:tcPr>
          <w:p w:rsidR="009E6A2F" w:rsidRPr="00146DB7" w:rsidRDefault="009E6A2F" w:rsidP="004E74C6">
            <w:pPr>
              <w:jc w:val="center"/>
              <w:rPr>
                <w:rFonts w:eastAsiaTheme="minorHAnsi" w:cstheme="minorBidi"/>
                <w:sz w:val="20"/>
                <w:szCs w:val="22"/>
              </w:rPr>
            </w:pPr>
          </w:p>
        </w:tc>
        <w:tc>
          <w:tcPr>
            <w:tcW w:w="1984" w:type="dxa"/>
            <w:vAlign w:val="center"/>
          </w:tcPr>
          <w:p w:rsidR="009E6A2F" w:rsidRPr="00CF27BC" w:rsidRDefault="009E6A2F" w:rsidP="004E74C6">
            <w:pPr>
              <w:jc w:val="center"/>
              <w:rPr>
                <w:rFonts w:eastAsiaTheme="minorHAnsi" w:cstheme="minorBidi"/>
                <w:sz w:val="20"/>
                <w:szCs w:val="22"/>
              </w:rPr>
            </w:pPr>
            <w:r w:rsidRPr="00CF27BC">
              <w:rPr>
                <w:rFonts w:eastAsiaTheme="minorHAnsi" w:cstheme="minorBidi"/>
                <w:sz w:val="20"/>
                <w:szCs w:val="22"/>
              </w:rPr>
              <w:t>85580</w:t>
            </w:r>
          </w:p>
        </w:tc>
        <w:tc>
          <w:tcPr>
            <w:tcW w:w="1985" w:type="dxa"/>
            <w:vAlign w:val="center"/>
          </w:tcPr>
          <w:p w:rsidR="009E6A2F" w:rsidRPr="00CF27BC" w:rsidRDefault="009E6A2F" w:rsidP="004E74C6">
            <w:pPr>
              <w:jc w:val="center"/>
              <w:rPr>
                <w:rFonts w:eastAsiaTheme="minorHAnsi" w:cstheme="minorBidi"/>
                <w:sz w:val="20"/>
                <w:szCs w:val="22"/>
              </w:rPr>
            </w:pPr>
            <w:r w:rsidRPr="00CF27BC">
              <w:rPr>
                <w:rFonts w:eastAsiaTheme="minorHAnsi" w:cstheme="minorBidi"/>
                <w:sz w:val="20"/>
                <w:szCs w:val="22"/>
              </w:rPr>
              <w:t>60274</w:t>
            </w:r>
          </w:p>
        </w:tc>
      </w:tr>
    </w:tbl>
    <w:p w:rsidR="009E6A2F" w:rsidRPr="00146DB7" w:rsidRDefault="009E6A2F" w:rsidP="009E6A2F">
      <w:pPr>
        <w:autoSpaceDE w:val="0"/>
        <w:autoSpaceDN w:val="0"/>
        <w:adjustRightInd w:val="0"/>
        <w:rPr>
          <w:rFonts w:eastAsiaTheme="minorHAnsi" w:cstheme="minorHAnsi"/>
          <w:szCs w:val="22"/>
        </w:rPr>
      </w:pPr>
    </w:p>
    <w:p w:rsidR="00146DB7" w:rsidRPr="00057CAF" w:rsidRDefault="00146DB7" w:rsidP="00146DB7">
      <w:pPr>
        <w:autoSpaceDE w:val="0"/>
        <w:autoSpaceDN w:val="0"/>
        <w:adjustRightInd w:val="0"/>
        <w:rPr>
          <w:rFonts w:eastAsiaTheme="minorHAnsi" w:cstheme="minorHAnsi"/>
          <w:b/>
          <w:color w:val="000000"/>
          <w:szCs w:val="22"/>
          <w:u w:val="single"/>
          <w:lang w:val="fr-FR"/>
        </w:rPr>
      </w:pPr>
      <w:r w:rsidRPr="00057CAF">
        <w:rPr>
          <w:rFonts w:eastAsiaTheme="minorHAnsi" w:cstheme="minorHAnsi"/>
          <w:b/>
          <w:color w:val="000000"/>
          <w:szCs w:val="22"/>
          <w:u w:val="single"/>
          <w:lang w:val="fr-FR"/>
        </w:rPr>
        <w:t>b) Effets des appuis aux filières bovines</w:t>
      </w:r>
    </w:p>
    <w:p w:rsidR="00834BDA" w:rsidRPr="00057CAF" w:rsidRDefault="00146DB7" w:rsidP="00146DB7">
      <w:pPr>
        <w:autoSpaceDE w:val="0"/>
        <w:autoSpaceDN w:val="0"/>
        <w:adjustRightInd w:val="0"/>
        <w:rPr>
          <w:rFonts w:eastAsiaTheme="minorHAnsi" w:cstheme="minorHAnsi"/>
          <w:szCs w:val="22"/>
          <w:lang w:val="fr-FR"/>
        </w:rPr>
      </w:pPr>
      <w:r w:rsidRPr="00057CAF">
        <w:rPr>
          <w:rFonts w:eastAsiaTheme="minorHAnsi" w:cstheme="minorHAnsi"/>
          <w:szCs w:val="22"/>
          <w:lang w:val="fr-FR"/>
        </w:rPr>
        <w:t xml:space="preserve">Le PDR appuie les filières bovines par des aides à l’investissement dans les installations d’élevage (M4.1) et des appuis conséquents au secteur aval de la viande (M4.2). </w:t>
      </w:r>
      <w:r w:rsidR="00C2437B" w:rsidRPr="00057CAF">
        <w:rPr>
          <w:rFonts w:eastAsiaTheme="minorHAnsi" w:cstheme="minorHAnsi"/>
          <w:szCs w:val="22"/>
          <w:lang w:val="fr-FR"/>
        </w:rPr>
        <w:t xml:space="preserve">Plus de la moitié des répondants à l’enquête menée début 2019 ont investi grâce à M4.1 dans des bâtiments ou des équipements d’élevage. </w:t>
      </w:r>
      <w:r w:rsidRPr="00057CAF">
        <w:rPr>
          <w:rFonts w:eastAsiaTheme="minorHAnsi" w:cstheme="minorHAnsi"/>
          <w:szCs w:val="22"/>
          <w:lang w:val="fr-FR"/>
        </w:rPr>
        <w:t>L’impact attendu a priori est un soutien à la production et à l’effectif de bétail</w:t>
      </w:r>
      <w:r w:rsidR="00233273" w:rsidRPr="00057CAF">
        <w:rPr>
          <w:rFonts w:eastAsiaTheme="minorHAnsi" w:cstheme="minorHAnsi"/>
          <w:szCs w:val="22"/>
          <w:lang w:val="fr-FR"/>
        </w:rPr>
        <w:t>. C</w:t>
      </w:r>
      <w:r w:rsidR="003E498E" w:rsidRPr="00057CAF">
        <w:rPr>
          <w:rFonts w:eastAsiaTheme="minorHAnsi" w:cstheme="minorHAnsi"/>
          <w:szCs w:val="22"/>
          <w:lang w:val="fr-FR"/>
        </w:rPr>
        <w:t xml:space="preserve">ertains répondants à l’enquête déclarent en effet que sans aide ils auraient eu moins de bêtes. </w:t>
      </w:r>
    </w:p>
    <w:p w:rsidR="00FE454A" w:rsidRPr="00057CAF" w:rsidRDefault="00FE454A" w:rsidP="00146DB7">
      <w:pPr>
        <w:autoSpaceDE w:val="0"/>
        <w:autoSpaceDN w:val="0"/>
        <w:adjustRightInd w:val="0"/>
        <w:rPr>
          <w:rFonts w:eastAsiaTheme="minorHAnsi" w:cstheme="minorHAnsi"/>
          <w:szCs w:val="22"/>
          <w:lang w:val="fr-FR"/>
        </w:rPr>
      </w:pPr>
    </w:p>
    <w:p w:rsidR="00146DB7" w:rsidRPr="00057CAF" w:rsidRDefault="00233273" w:rsidP="00146DB7">
      <w:pPr>
        <w:autoSpaceDE w:val="0"/>
        <w:autoSpaceDN w:val="0"/>
        <w:adjustRightInd w:val="0"/>
        <w:rPr>
          <w:rFonts w:eastAsiaTheme="minorHAnsi" w:cstheme="minorHAnsi"/>
          <w:szCs w:val="22"/>
          <w:lang w:val="fr-FR"/>
        </w:rPr>
      </w:pPr>
      <w:r w:rsidRPr="00057CAF">
        <w:rPr>
          <w:rFonts w:eastAsiaTheme="minorHAnsi" w:cstheme="minorHAnsi"/>
          <w:szCs w:val="22"/>
          <w:lang w:val="fr-FR"/>
        </w:rPr>
        <w:t>A défaut de renverser la tendance générale au déclin du cheptel, l</w:t>
      </w:r>
      <w:r w:rsidR="003E498E" w:rsidRPr="00057CAF">
        <w:rPr>
          <w:rFonts w:eastAsiaTheme="minorHAnsi" w:cstheme="minorHAnsi"/>
          <w:szCs w:val="22"/>
          <w:lang w:val="fr-FR"/>
        </w:rPr>
        <w:t xml:space="preserve">es investissements dans les bâtiments d’élevage (M4.1) peuvent </w:t>
      </w:r>
      <w:r w:rsidRPr="00057CAF">
        <w:rPr>
          <w:rFonts w:eastAsiaTheme="minorHAnsi" w:cstheme="minorHAnsi"/>
          <w:szCs w:val="22"/>
          <w:lang w:val="fr-FR"/>
        </w:rPr>
        <w:t xml:space="preserve">au moins le ralentir. L’enquête a également montré que les éleveurs relativement extensifs (ayant des contrats MB9 et M11) recourent davantage que les autres à ces investissements, comme s’ils accompagnaient autant la concentration en terres que la </w:t>
      </w:r>
      <w:r w:rsidR="003E498E" w:rsidRPr="00057CAF">
        <w:rPr>
          <w:rFonts w:eastAsiaTheme="minorHAnsi" w:cstheme="minorHAnsi"/>
          <w:szCs w:val="22"/>
          <w:lang w:val="fr-FR"/>
        </w:rPr>
        <w:t xml:space="preserve">concentration </w:t>
      </w:r>
      <w:r w:rsidRPr="00057CAF">
        <w:rPr>
          <w:rFonts w:eastAsiaTheme="minorHAnsi" w:cstheme="minorHAnsi"/>
          <w:szCs w:val="22"/>
          <w:lang w:val="fr-FR"/>
        </w:rPr>
        <w:t xml:space="preserve">en bétail. </w:t>
      </w:r>
      <w:r w:rsidR="003E498E" w:rsidRPr="00057CAF">
        <w:rPr>
          <w:rFonts w:eastAsiaTheme="minorHAnsi" w:cstheme="minorHAnsi"/>
          <w:szCs w:val="22"/>
          <w:lang w:val="fr-FR"/>
        </w:rPr>
        <w:t xml:space="preserve">Une grande part </w:t>
      </w:r>
      <w:r w:rsidRPr="00057CAF">
        <w:rPr>
          <w:rFonts w:eastAsiaTheme="minorHAnsi" w:cstheme="minorHAnsi"/>
          <w:szCs w:val="22"/>
          <w:lang w:val="fr-FR"/>
        </w:rPr>
        <w:t xml:space="preserve">des primes M4.1 </w:t>
      </w:r>
      <w:r w:rsidR="003E498E" w:rsidRPr="00057CAF">
        <w:rPr>
          <w:rFonts w:eastAsiaTheme="minorHAnsi" w:cstheme="minorHAnsi"/>
          <w:szCs w:val="22"/>
          <w:lang w:val="fr-FR"/>
        </w:rPr>
        <w:t xml:space="preserve">peut cependant ne viser que des changements qualitatifs liés à la modernisation et à la </w:t>
      </w:r>
      <w:r w:rsidR="00146DB7" w:rsidRPr="00057CAF">
        <w:rPr>
          <w:rFonts w:eastAsiaTheme="minorHAnsi" w:cstheme="minorHAnsi"/>
          <w:szCs w:val="22"/>
          <w:lang w:val="fr-FR"/>
        </w:rPr>
        <w:t xml:space="preserve">nécessité de s’adapter par une logique de réduction des coûts </w:t>
      </w:r>
      <w:r w:rsidRPr="00057CAF">
        <w:rPr>
          <w:rFonts w:eastAsiaTheme="minorHAnsi" w:cstheme="minorHAnsi"/>
          <w:szCs w:val="22"/>
          <w:lang w:val="fr-FR"/>
        </w:rPr>
        <w:t xml:space="preserve">à un marché rétréci </w:t>
      </w:r>
      <w:r w:rsidR="00146DB7" w:rsidRPr="00057CAF">
        <w:rPr>
          <w:rFonts w:eastAsiaTheme="minorHAnsi" w:cstheme="minorHAnsi"/>
          <w:szCs w:val="22"/>
          <w:lang w:val="fr-FR"/>
        </w:rPr>
        <w:t>(comme mentionné pour l’équivalent de M4.2 dans l’évaluation du PDR précédent)</w:t>
      </w:r>
      <w:r w:rsidR="003E498E" w:rsidRPr="00057CAF">
        <w:rPr>
          <w:rFonts w:eastAsiaTheme="minorHAnsi" w:cstheme="minorHAnsi"/>
          <w:szCs w:val="22"/>
          <w:lang w:val="fr-FR"/>
        </w:rPr>
        <w:t xml:space="preserve">. </w:t>
      </w:r>
    </w:p>
    <w:p w:rsidR="00FE454A" w:rsidRPr="00057CAF" w:rsidRDefault="00FE454A" w:rsidP="00146DB7">
      <w:pPr>
        <w:autoSpaceDE w:val="0"/>
        <w:autoSpaceDN w:val="0"/>
        <w:adjustRightInd w:val="0"/>
        <w:rPr>
          <w:rFonts w:eastAsiaTheme="minorHAnsi" w:cstheme="minorHAnsi"/>
          <w:szCs w:val="22"/>
          <w:lang w:val="fr-FR"/>
        </w:rPr>
      </w:pPr>
    </w:p>
    <w:p w:rsidR="00146DB7" w:rsidRPr="00057CAF" w:rsidRDefault="00D75DD7" w:rsidP="00146DB7">
      <w:pPr>
        <w:autoSpaceDE w:val="0"/>
        <w:autoSpaceDN w:val="0"/>
        <w:adjustRightInd w:val="0"/>
        <w:rPr>
          <w:rFonts w:eastAsiaTheme="minorHAnsi" w:cstheme="minorHAnsi"/>
          <w:b/>
          <w:color w:val="000000"/>
          <w:szCs w:val="22"/>
          <w:u w:val="single"/>
          <w:lang w:val="fr-FR"/>
        </w:rPr>
      </w:pPr>
      <w:r w:rsidRPr="00057CAF">
        <w:rPr>
          <w:rFonts w:eastAsiaTheme="minorHAnsi" w:cstheme="minorHAnsi"/>
          <w:b/>
          <w:color w:val="000000"/>
          <w:szCs w:val="22"/>
          <w:u w:val="single"/>
          <w:lang w:val="fr-FR"/>
        </w:rPr>
        <w:t>c</w:t>
      </w:r>
      <w:r w:rsidR="00146DB7" w:rsidRPr="00057CAF">
        <w:rPr>
          <w:rFonts w:eastAsiaTheme="minorHAnsi" w:cstheme="minorHAnsi"/>
          <w:b/>
          <w:color w:val="000000"/>
          <w:szCs w:val="22"/>
          <w:u w:val="single"/>
          <w:lang w:val="fr-FR"/>
        </w:rPr>
        <w:t>) Effets des améliorations de productivité</w:t>
      </w:r>
    </w:p>
    <w:p w:rsidR="00146DB7" w:rsidRPr="00057CAF" w:rsidRDefault="00146DB7" w:rsidP="00146DB7">
      <w:pPr>
        <w:autoSpaceDE w:val="0"/>
        <w:autoSpaceDN w:val="0"/>
        <w:adjustRightInd w:val="0"/>
        <w:rPr>
          <w:rFonts w:eastAsiaTheme="minorHAnsi" w:cstheme="minorHAnsi"/>
          <w:szCs w:val="22"/>
          <w:lang w:val="fr-FR"/>
        </w:rPr>
      </w:pPr>
      <w:r w:rsidRPr="00057CAF">
        <w:rPr>
          <w:rFonts w:eastAsiaTheme="minorHAnsi" w:cstheme="minorHAnsi"/>
          <w:szCs w:val="22"/>
          <w:lang w:val="fr-FR"/>
        </w:rPr>
        <w:t xml:space="preserve">Quelques actions de M1.2 (Forum de </w:t>
      </w:r>
      <w:proofErr w:type="gramStart"/>
      <w:r w:rsidRPr="00057CAF">
        <w:rPr>
          <w:rFonts w:eastAsiaTheme="minorHAnsi" w:cstheme="minorHAnsi"/>
          <w:szCs w:val="22"/>
          <w:lang w:val="fr-FR"/>
        </w:rPr>
        <w:t>l’ARSIA)  et</w:t>
      </w:r>
      <w:proofErr w:type="gramEnd"/>
      <w:r w:rsidRPr="00057CAF">
        <w:rPr>
          <w:rFonts w:eastAsiaTheme="minorHAnsi" w:cstheme="minorHAnsi"/>
          <w:szCs w:val="22"/>
          <w:lang w:val="fr-FR"/>
        </w:rPr>
        <w:t xml:space="preserve"> certains investissements de M4.1 (installations d’élevage améliorées, par exemple avec systèmes d’alimentation individualisée) favorisent une augmentation de la productivité de l’élevage (alimentation, génétique, santé, gestion du troupeau), en termes de rapport entre la production et l’effectif (ou nombre d’UGB). </w:t>
      </w:r>
    </w:p>
    <w:p w:rsidR="00FE454A" w:rsidRPr="00057CAF" w:rsidRDefault="00FE454A" w:rsidP="00146DB7">
      <w:pPr>
        <w:autoSpaceDE w:val="0"/>
        <w:autoSpaceDN w:val="0"/>
        <w:adjustRightInd w:val="0"/>
        <w:rPr>
          <w:rFonts w:eastAsiaTheme="minorHAnsi" w:cstheme="minorHAnsi"/>
          <w:szCs w:val="22"/>
          <w:lang w:val="fr-FR"/>
        </w:rPr>
      </w:pPr>
    </w:p>
    <w:p w:rsidR="00146DB7" w:rsidRPr="00057CAF" w:rsidRDefault="00146DB7" w:rsidP="00146DB7">
      <w:pPr>
        <w:autoSpaceDE w:val="0"/>
        <w:autoSpaceDN w:val="0"/>
        <w:adjustRightInd w:val="0"/>
        <w:rPr>
          <w:rFonts w:eastAsiaTheme="minorHAnsi" w:cstheme="minorHAnsi"/>
          <w:szCs w:val="22"/>
          <w:lang w:val="fr-FR"/>
        </w:rPr>
      </w:pPr>
      <w:r w:rsidRPr="00057CAF">
        <w:rPr>
          <w:rFonts w:eastAsiaTheme="minorHAnsi" w:cstheme="minorHAnsi"/>
          <w:szCs w:val="22"/>
          <w:lang w:val="fr-FR"/>
        </w:rPr>
        <w:t xml:space="preserve">Ces progrès permettent l’atteinte des objectifs de production ou de revenus avec moins de têtes mais ils favorisent également la rentabilité et donc le maintien de l’activité d’élevage, avec un bilan net sur le cheptel total inconnu. </w:t>
      </w:r>
    </w:p>
    <w:p w:rsidR="00FE454A" w:rsidRPr="00057CAF" w:rsidRDefault="00FE454A" w:rsidP="00146DB7">
      <w:pPr>
        <w:autoSpaceDE w:val="0"/>
        <w:autoSpaceDN w:val="0"/>
        <w:adjustRightInd w:val="0"/>
        <w:rPr>
          <w:rFonts w:eastAsiaTheme="minorHAnsi" w:cstheme="minorHAnsi"/>
          <w:szCs w:val="22"/>
          <w:lang w:val="fr-FR"/>
        </w:rPr>
      </w:pPr>
    </w:p>
    <w:p w:rsidR="00834BDA" w:rsidRPr="00057CAF" w:rsidRDefault="00834BDA" w:rsidP="00146DB7">
      <w:pPr>
        <w:autoSpaceDE w:val="0"/>
        <w:autoSpaceDN w:val="0"/>
        <w:adjustRightInd w:val="0"/>
        <w:rPr>
          <w:rFonts w:eastAsiaTheme="minorHAnsi" w:cstheme="minorHAnsi"/>
          <w:b/>
          <w:szCs w:val="22"/>
          <w:u w:val="single"/>
          <w:lang w:val="fr-FR"/>
        </w:rPr>
      </w:pPr>
      <w:r w:rsidRPr="00057CAF">
        <w:rPr>
          <w:rFonts w:eastAsiaTheme="minorHAnsi" w:cstheme="minorHAnsi"/>
          <w:b/>
          <w:szCs w:val="22"/>
          <w:u w:val="single"/>
          <w:lang w:val="fr-FR"/>
        </w:rPr>
        <w:t>d) Bilan</w:t>
      </w:r>
    </w:p>
    <w:p w:rsidR="00D75DD7" w:rsidRPr="00057CAF" w:rsidRDefault="00D75DD7" w:rsidP="00146DB7">
      <w:pPr>
        <w:autoSpaceDE w:val="0"/>
        <w:autoSpaceDN w:val="0"/>
        <w:adjustRightInd w:val="0"/>
        <w:rPr>
          <w:rFonts w:eastAsiaTheme="minorHAnsi" w:cstheme="minorHAnsi"/>
          <w:szCs w:val="22"/>
          <w:lang w:val="fr-FR"/>
        </w:rPr>
      </w:pPr>
      <w:r w:rsidRPr="00057CAF">
        <w:rPr>
          <w:rFonts w:eastAsiaTheme="minorHAnsi" w:cstheme="minorHAnsi"/>
          <w:szCs w:val="22"/>
          <w:lang w:val="fr-FR"/>
        </w:rPr>
        <w:t>Le PDR exerce ainsi des effets contradictoires, dont le bilan est inconnu.</w:t>
      </w:r>
      <w:r w:rsidR="00834BDA" w:rsidRPr="00057CAF">
        <w:rPr>
          <w:rFonts w:eastAsiaTheme="minorHAnsi" w:cstheme="minorHAnsi"/>
          <w:szCs w:val="22"/>
          <w:lang w:val="fr-FR"/>
        </w:rPr>
        <w:t xml:space="preserve"> Cela n’empêche pas qu’il contient des mesures (MB9, M11) qui infléchissent le cheptel à la baisse.</w:t>
      </w:r>
    </w:p>
    <w:p w:rsidR="00146DB7" w:rsidRPr="00057CAF" w:rsidRDefault="00146DB7" w:rsidP="00FE454A">
      <w:pPr>
        <w:pStyle w:val="Titre2"/>
        <w:rPr>
          <w:lang w:val="fr-FR"/>
        </w:rPr>
      </w:pPr>
      <w:bookmarkStart w:id="118" w:name="_Toc1055157"/>
      <w:bookmarkStart w:id="119" w:name="_Toc11278978"/>
      <w:bookmarkStart w:id="120" w:name="_Toc11333823"/>
      <w:bookmarkStart w:id="121" w:name="_Toc25688795"/>
      <w:r w:rsidRPr="00057CAF">
        <w:rPr>
          <w:lang w:val="fr-FR"/>
        </w:rPr>
        <w:lastRenderedPageBreak/>
        <w:t>3. Effets d’une variation unitaire du cheptel sur certains vecteurs d’impact environnemental</w:t>
      </w:r>
      <w:bookmarkEnd w:id="118"/>
      <w:bookmarkEnd w:id="119"/>
      <w:bookmarkEnd w:id="120"/>
      <w:bookmarkEnd w:id="121"/>
    </w:p>
    <w:p w:rsidR="00146DB7" w:rsidRPr="00057CAF" w:rsidRDefault="00146DB7" w:rsidP="00146DB7">
      <w:pPr>
        <w:spacing w:after="160"/>
        <w:rPr>
          <w:rFonts w:eastAsiaTheme="minorHAnsi" w:cstheme="minorBidi"/>
          <w:szCs w:val="22"/>
          <w:lang w:val="fr-FR"/>
        </w:rPr>
      </w:pPr>
      <w:r w:rsidRPr="00057CAF">
        <w:rPr>
          <w:rFonts w:eastAsiaTheme="minorHAnsi" w:cstheme="minorBidi"/>
          <w:szCs w:val="22"/>
          <w:lang w:val="fr-FR"/>
        </w:rPr>
        <w:t xml:space="preserve">Les bovins consomment de l’azote, partiellement importé sous forme d’aliments, partiellement issu d’aliments et fourrages produits localement à l’aide d’engrais minéraux et organiques, ces derniers étant en majorité issus du bétail. Comme le PDR influence le nombre de bovins, il affecte de cette manière le flux d’azote entrant dans le système agriculture-élevage, et donc indirectement le flux sortant vers l’environnement. L’analyse qui suit vise à quantifier cet impact. </w:t>
      </w:r>
    </w:p>
    <w:p w:rsidR="00146DB7" w:rsidRPr="00057CAF" w:rsidRDefault="00146DB7" w:rsidP="00146DB7">
      <w:pPr>
        <w:spacing w:after="160"/>
        <w:rPr>
          <w:rFonts w:eastAsiaTheme="minorHAnsi" w:cstheme="minorBidi"/>
          <w:szCs w:val="22"/>
          <w:lang w:val="fr-FR"/>
        </w:rPr>
      </w:pPr>
      <w:r w:rsidRPr="00057CAF">
        <w:rPr>
          <w:rFonts w:eastAsiaTheme="minorHAnsi" w:cstheme="minorBidi"/>
          <w:szCs w:val="22"/>
          <w:lang w:val="fr-FR"/>
        </w:rPr>
        <w:t>Les ruminants, porcins et volailles représentent respectivement 94,2%, 2,3% et 2,6% des UGB de Wallonie (chiffres de 2015 selon le tableau ci-dessous).</w:t>
      </w:r>
    </w:p>
    <w:tbl>
      <w:tblPr>
        <w:tblW w:w="8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365"/>
        <w:gridCol w:w="1330"/>
        <w:gridCol w:w="1560"/>
        <w:gridCol w:w="1701"/>
      </w:tblGrid>
      <w:tr w:rsidR="00146DB7" w:rsidRPr="00FE454A" w:rsidTr="00FE454A">
        <w:trPr>
          <w:trHeight w:val="20"/>
        </w:trPr>
        <w:tc>
          <w:tcPr>
            <w:tcW w:w="1980" w:type="dxa"/>
            <w:shd w:val="clear" w:color="auto" w:fill="A50021"/>
            <w:vAlign w:val="center"/>
          </w:tcPr>
          <w:p w:rsidR="00146DB7" w:rsidRPr="00057CAF" w:rsidRDefault="00146DB7" w:rsidP="00146DB7">
            <w:pPr>
              <w:rPr>
                <w:rFonts w:cs="Calibri"/>
                <w:sz w:val="22"/>
                <w:szCs w:val="22"/>
                <w:lang w:val="fr-FR"/>
              </w:rPr>
            </w:pPr>
          </w:p>
        </w:tc>
        <w:tc>
          <w:tcPr>
            <w:tcW w:w="2365" w:type="dxa"/>
            <w:shd w:val="clear" w:color="auto" w:fill="A50021"/>
            <w:noWrap/>
            <w:vAlign w:val="center"/>
          </w:tcPr>
          <w:p w:rsidR="00146DB7" w:rsidRPr="00FE454A" w:rsidRDefault="00146DB7" w:rsidP="00146DB7">
            <w:pPr>
              <w:jc w:val="right"/>
              <w:rPr>
                <w:rFonts w:cs="Arial"/>
                <w:sz w:val="22"/>
                <w:szCs w:val="22"/>
                <w:lang w:val="en-US"/>
              </w:rPr>
            </w:pPr>
            <w:proofErr w:type="spellStart"/>
            <w:r w:rsidRPr="00FE454A">
              <w:rPr>
                <w:rFonts w:cs="Arial"/>
                <w:sz w:val="22"/>
                <w:szCs w:val="22"/>
                <w:lang w:val="en-US"/>
              </w:rPr>
              <w:t>Milliers</w:t>
            </w:r>
            <w:proofErr w:type="spellEnd"/>
            <w:r w:rsidRPr="00FE454A">
              <w:rPr>
                <w:rFonts w:cs="Arial"/>
                <w:sz w:val="22"/>
                <w:szCs w:val="22"/>
                <w:lang w:val="en-US"/>
              </w:rPr>
              <w:t xml:space="preserve"> de </w:t>
            </w:r>
            <w:proofErr w:type="spellStart"/>
            <w:r w:rsidRPr="00FE454A">
              <w:rPr>
                <w:rFonts w:cs="Arial"/>
                <w:sz w:val="22"/>
                <w:szCs w:val="22"/>
                <w:lang w:val="en-US"/>
              </w:rPr>
              <w:t>têtes</w:t>
            </w:r>
            <w:proofErr w:type="spellEnd"/>
            <w:r w:rsidRPr="00FE454A">
              <w:rPr>
                <w:rFonts w:cs="Arial"/>
                <w:sz w:val="22"/>
                <w:szCs w:val="22"/>
                <w:lang w:val="en-US"/>
              </w:rPr>
              <w:t xml:space="preserve"> 2015</w:t>
            </w:r>
            <w:r w:rsidRPr="00FE454A">
              <w:rPr>
                <w:rFonts w:cs="Arial"/>
                <w:sz w:val="22"/>
                <w:szCs w:val="22"/>
                <w:vertAlign w:val="superscript"/>
                <w:lang w:val="en-US"/>
              </w:rPr>
              <w:footnoteReference w:id="6"/>
            </w:r>
          </w:p>
        </w:tc>
        <w:tc>
          <w:tcPr>
            <w:tcW w:w="1330" w:type="dxa"/>
            <w:shd w:val="clear" w:color="auto" w:fill="A50021"/>
            <w:noWrap/>
            <w:vAlign w:val="center"/>
          </w:tcPr>
          <w:p w:rsidR="00146DB7" w:rsidRPr="00FE454A" w:rsidRDefault="00146DB7" w:rsidP="00146DB7">
            <w:pPr>
              <w:jc w:val="right"/>
              <w:rPr>
                <w:rFonts w:cs="Arial"/>
                <w:sz w:val="22"/>
                <w:szCs w:val="22"/>
                <w:lang w:val="en-US"/>
              </w:rPr>
            </w:pPr>
            <w:r w:rsidRPr="00FE454A">
              <w:rPr>
                <w:rFonts w:cs="Arial"/>
                <w:sz w:val="22"/>
                <w:szCs w:val="22"/>
                <w:lang w:val="en-US"/>
              </w:rPr>
              <w:t>UGB/tête</w:t>
            </w:r>
            <w:r w:rsidRPr="00FE454A">
              <w:rPr>
                <w:rFonts w:cs="Arial"/>
                <w:sz w:val="22"/>
                <w:szCs w:val="22"/>
                <w:vertAlign w:val="superscript"/>
                <w:lang w:val="en-US"/>
              </w:rPr>
              <w:footnoteReference w:id="7"/>
            </w:r>
          </w:p>
        </w:tc>
        <w:tc>
          <w:tcPr>
            <w:tcW w:w="1560" w:type="dxa"/>
            <w:shd w:val="clear" w:color="auto" w:fill="A50021"/>
          </w:tcPr>
          <w:p w:rsidR="00146DB7" w:rsidRPr="00FE454A" w:rsidRDefault="00146DB7" w:rsidP="00146DB7">
            <w:pPr>
              <w:jc w:val="right"/>
              <w:rPr>
                <w:rFonts w:cs="Arial"/>
                <w:sz w:val="22"/>
                <w:szCs w:val="22"/>
                <w:lang w:val="en-US"/>
              </w:rPr>
            </w:pPr>
            <w:proofErr w:type="spellStart"/>
            <w:r w:rsidRPr="00FE454A">
              <w:rPr>
                <w:rFonts w:cs="Arial"/>
                <w:sz w:val="22"/>
                <w:szCs w:val="22"/>
                <w:lang w:val="en-US"/>
              </w:rPr>
              <w:t>Milliers</w:t>
            </w:r>
            <w:proofErr w:type="spellEnd"/>
            <w:r w:rsidRPr="00FE454A">
              <w:rPr>
                <w:rFonts w:cs="Arial"/>
                <w:sz w:val="22"/>
                <w:szCs w:val="22"/>
                <w:lang w:val="en-US"/>
              </w:rPr>
              <w:t xml:space="preserve"> UGB</w:t>
            </w:r>
          </w:p>
        </w:tc>
        <w:tc>
          <w:tcPr>
            <w:tcW w:w="1701" w:type="dxa"/>
            <w:tcBorders>
              <w:bottom w:val="single" w:sz="4" w:space="0" w:color="auto"/>
            </w:tcBorders>
            <w:shd w:val="clear" w:color="auto" w:fill="A50021"/>
            <w:noWrap/>
            <w:vAlign w:val="center"/>
          </w:tcPr>
          <w:p w:rsidR="00146DB7" w:rsidRPr="00FE454A" w:rsidRDefault="00146DB7" w:rsidP="00146DB7">
            <w:pPr>
              <w:jc w:val="right"/>
              <w:rPr>
                <w:rFonts w:cs="Arial"/>
                <w:sz w:val="22"/>
                <w:szCs w:val="22"/>
                <w:lang w:val="en-US"/>
              </w:rPr>
            </w:pPr>
            <w:r w:rsidRPr="00FE454A">
              <w:rPr>
                <w:rFonts w:cs="Arial"/>
                <w:sz w:val="22"/>
                <w:szCs w:val="22"/>
                <w:lang w:val="en-US"/>
              </w:rPr>
              <w:t>% UGB 2015</w:t>
            </w:r>
          </w:p>
        </w:tc>
      </w:tr>
      <w:tr w:rsidR="00146DB7" w:rsidRPr="00FE454A" w:rsidTr="009716CF">
        <w:trPr>
          <w:trHeight w:val="20"/>
        </w:trPr>
        <w:tc>
          <w:tcPr>
            <w:tcW w:w="1980" w:type="dxa"/>
            <w:shd w:val="clear" w:color="auto" w:fill="auto"/>
            <w:vAlign w:val="center"/>
            <w:hideMark/>
          </w:tcPr>
          <w:p w:rsidR="00146DB7" w:rsidRPr="00FE454A" w:rsidRDefault="00146DB7" w:rsidP="00146DB7">
            <w:pPr>
              <w:rPr>
                <w:rFonts w:cs="Calibri"/>
                <w:sz w:val="22"/>
                <w:szCs w:val="22"/>
                <w:lang w:val="en-US"/>
              </w:rPr>
            </w:pPr>
            <w:proofErr w:type="spellStart"/>
            <w:r w:rsidRPr="00FE454A">
              <w:rPr>
                <w:rFonts w:cs="Calibri"/>
                <w:sz w:val="22"/>
                <w:szCs w:val="22"/>
              </w:rPr>
              <w:t>Bovins</w:t>
            </w:r>
            <w:proofErr w:type="spellEnd"/>
          </w:p>
        </w:tc>
        <w:tc>
          <w:tcPr>
            <w:tcW w:w="2365" w:type="dxa"/>
            <w:noWrap/>
            <w:hideMark/>
          </w:tcPr>
          <w:p w:rsidR="00146DB7" w:rsidRPr="00FE454A" w:rsidRDefault="00146DB7" w:rsidP="00146DB7">
            <w:pPr>
              <w:jc w:val="right"/>
              <w:rPr>
                <w:rFonts w:cs="Arial"/>
                <w:sz w:val="22"/>
                <w:szCs w:val="22"/>
                <w:lang w:val="en-US"/>
              </w:rPr>
            </w:pPr>
            <w:r w:rsidRPr="00FE454A">
              <w:rPr>
                <w:rFonts w:eastAsiaTheme="minorHAnsi" w:cstheme="minorBidi"/>
                <w:sz w:val="22"/>
                <w:szCs w:val="22"/>
              </w:rPr>
              <w:t>1181</w:t>
            </w:r>
          </w:p>
        </w:tc>
        <w:tc>
          <w:tcPr>
            <w:tcW w:w="1330" w:type="dxa"/>
            <w:noWrap/>
            <w:hideMark/>
          </w:tcPr>
          <w:p w:rsidR="00146DB7" w:rsidRPr="00FE454A" w:rsidRDefault="00146DB7" w:rsidP="00146DB7">
            <w:pPr>
              <w:jc w:val="right"/>
              <w:rPr>
                <w:rFonts w:cs="Arial"/>
                <w:sz w:val="22"/>
                <w:szCs w:val="22"/>
                <w:lang w:val="en-US"/>
              </w:rPr>
            </w:pPr>
            <w:r w:rsidRPr="00FE454A">
              <w:rPr>
                <w:rFonts w:eastAsiaTheme="minorHAnsi" w:cstheme="minorBidi"/>
                <w:sz w:val="22"/>
                <w:szCs w:val="22"/>
              </w:rPr>
              <w:t>0,81</w:t>
            </w:r>
          </w:p>
        </w:tc>
        <w:tc>
          <w:tcPr>
            <w:tcW w:w="1560" w:type="dxa"/>
          </w:tcPr>
          <w:p w:rsidR="00146DB7" w:rsidRPr="00FE454A" w:rsidRDefault="00146DB7" w:rsidP="00146DB7">
            <w:pPr>
              <w:jc w:val="right"/>
              <w:rPr>
                <w:rFonts w:cs="Arial"/>
                <w:sz w:val="22"/>
                <w:szCs w:val="22"/>
                <w:lang w:val="en-US"/>
              </w:rPr>
            </w:pPr>
            <w:r w:rsidRPr="00FE454A">
              <w:rPr>
                <w:rFonts w:cs="Arial"/>
                <w:sz w:val="22"/>
                <w:szCs w:val="22"/>
                <w:lang w:val="en-US"/>
              </w:rPr>
              <w:t>956,5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46DB7" w:rsidRPr="00FE454A" w:rsidRDefault="00146DB7" w:rsidP="00146DB7">
            <w:pPr>
              <w:jc w:val="right"/>
              <w:rPr>
                <w:rFonts w:cs="Arial"/>
                <w:sz w:val="22"/>
                <w:szCs w:val="22"/>
                <w:lang w:val="en-US"/>
              </w:rPr>
            </w:pPr>
            <w:r w:rsidRPr="00FE454A">
              <w:rPr>
                <w:rFonts w:eastAsiaTheme="minorHAnsi" w:cs="Calibri"/>
                <w:color w:val="000000"/>
                <w:sz w:val="22"/>
                <w:szCs w:val="22"/>
              </w:rPr>
              <w:t>93,3%</w:t>
            </w:r>
          </w:p>
        </w:tc>
      </w:tr>
      <w:tr w:rsidR="00146DB7" w:rsidRPr="00FE454A" w:rsidTr="009716CF">
        <w:trPr>
          <w:trHeight w:val="20"/>
        </w:trPr>
        <w:tc>
          <w:tcPr>
            <w:tcW w:w="1980" w:type="dxa"/>
            <w:shd w:val="clear" w:color="auto" w:fill="auto"/>
            <w:vAlign w:val="center"/>
            <w:hideMark/>
          </w:tcPr>
          <w:p w:rsidR="00146DB7" w:rsidRPr="00FE454A" w:rsidRDefault="00146DB7" w:rsidP="00146DB7">
            <w:pPr>
              <w:rPr>
                <w:rFonts w:cs="Calibri"/>
                <w:sz w:val="22"/>
                <w:szCs w:val="22"/>
                <w:lang w:val="en-US"/>
              </w:rPr>
            </w:pPr>
            <w:proofErr w:type="spellStart"/>
            <w:r w:rsidRPr="00FE454A">
              <w:rPr>
                <w:rFonts w:cs="Calibri"/>
                <w:sz w:val="22"/>
                <w:szCs w:val="22"/>
              </w:rPr>
              <w:t>Chevaux</w:t>
            </w:r>
            <w:proofErr w:type="spellEnd"/>
          </w:p>
        </w:tc>
        <w:tc>
          <w:tcPr>
            <w:tcW w:w="2365" w:type="dxa"/>
            <w:noWrap/>
            <w:hideMark/>
          </w:tcPr>
          <w:p w:rsidR="00146DB7" w:rsidRPr="00FE454A" w:rsidRDefault="00146DB7" w:rsidP="00146DB7">
            <w:pPr>
              <w:jc w:val="right"/>
              <w:rPr>
                <w:rFonts w:cs="Arial"/>
                <w:sz w:val="22"/>
                <w:szCs w:val="22"/>
                <w:lang w:val="en-US"/>
              </w:rPr>
            </w:pPr>
            <w:r w:rsidRPr="00FE454A">
              <w:rPr>
                <w:rFonts w:eastAsiaTheme="minorHAnsi" w:cstheme="minorBidi"/>
                <w:sz w:val="22"/>
                <w:szCs w:val="22"/>
              </w:rPr>
              <w:t>13</w:t>
            </w:r>
          </w:p>
        </w:tc>
        <w:tc>
          <w:tcPr>
            <w:tcW w:w="1330" w:type="dxa"/>
            <w:noWrap/>
            <w:hideMark/>
          </w:tcPr>
          <w:p w:rsidR="00146DB7" w:rsidRPr="00FE454A" w:rsidRDefault="00146DB7" w:rsidP="00146DB7">
            <w:pPr>
              <w:jc w:val="right"/>
              <w:rPr>
                <w:rFonts w:cs="Arial"/>
                <w:sz w:val="22"/>
                <w:szCs w:val="22"/>
                <w:lang w:val="en-US"/>
              </w:rPr>
            </w:pPr>
            <w:r w:rsidRPr="00FE454A">
              <w:rPr>
                <w:rFonts w:eastAsiaTheme="minorHAnsi" w:cstheme="minorBidi"/>
                <w:sz w:val="22"/>
                <w:szCs w:val="22"/>
              </w:rPr>
              <w:t>0,67</w:t>
            </w:r>
          </w:p>
        </w:tc>
        <w:tc>
          <w:tcPr>
            <w:tcW w:w="1560" w:type="dxa"/>
          </w:tcPr>
          <w:p w:rsidR="00146DB7" w:rsidRPr="00FE454A" w:rsidRDefault="00146DB7" w:rsidP="00146DB7">
            <w:pPr>
              <w:jc w:val="right"/>
              <w:rPr>
                <w:rFonts w:cs="Arial"/>
                <w:sz w:val="22"/>
                <w:szCs w:val="22"/>
                <w:lang w:val="en-US"/>
              </w:rPr>
            </w:pPr>
            <w:r w:rsidRPr="00FE454A">
              <w:rPr>
                <w:rFonts w:cs="Arial"/>
                <w:sz w:val="22"/>
                <w:szCs w:val="22"/>
                <w:lang w:val="en-US"/>
              </w:rPr>
              <w:t>8,6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46DB7" w:rsidRPr="00FE454A" w:rsidRDefault="00146DB7" w:rsidP="00146DB7">
            <w:pPr>
              <w:jc w:val="right"/>
              <w:rPr>
                <w:rFonts w:cs="Arial"/>
                <w:sz w:val="22"/>
                <w:szCs w:val="22"/>
                <w:lang w:val="en-US"/>
              </w:rPr>
            </w:pPr>
            <w:r w:rsidRPr="00FE454A">
              <w:rPr>
                <w:rFonts w:eastAsiaTheme="minorHAnsi" w:cs="Calibri"/>
                <w:color w:val="000000"/>
                <w:sz w:val="22"/>
                <w:szCs w:val="22"/>
              </w:rPr>
              <w:t>0,8%</w:t>
            </w:r>
          </w:p>
        </w:tc>
      </w:tr>
      <w:tr w:rsidR="00146DB7" w:rsidRPr="00FE454A" w:rsidTr="009716CF">
        <w:trPr>
          <w:trHeight w:val="20"/>
        </w:trPr>
        <w:tc>
          <w:tcPr>
            <w:tcW w:w="1980" w:type="dxa"/>
            <w:shd w:val="clear" w:color="auto" w:fill="auto"/>
            <w:vAlign w:val="center"/>
            <w:hideMark/>
          </w:tcPr>
          <w:p w:rsidR="00146DB7" w:rsidRPr="00FE454A" w:rsidRDefault="00146DB7" w:rsidP="00146DB7">
            <w:pPr>
              <w:rPr>
                <w:rFonts w:cs="Calibri"/>
                <w:sz w:val="22"/>
                <w:szCs w:val="22"/>
                <w:lang w:val="en-US"/>
              </w:rPr>
            </w:pPr>
            <w:proofErr w:type="spellStart"/>
            <w:r w:rsidRPr="00FE454A">
              <w:rPr>
                <w:rFonts w:cs="Calibri"/>
                <w:sz w:val="22"/>
                <w:szCs w:val="22"/>
              </w:rPr>
              <w:t>Ovins</w:t>
            </w:r>
            <w:proofErr w:type="spellEnd"/>
            <w:r w:rsidRPr="00FE454A">
              <w:rPr>
                <w:rFonts w:cs="Calibri"/>
                <w:sz w:val="22"/>
                <w:szCs w:val="22"/>
              </w:rPr>
              <w:t xml:space="preserve"> et </w:t>
            </w:r>
            <w:proofErr w:type="spellStart"/>
            <w:r w:rsidRPr="00FE454A">
              <w:rPr>
                <w:rFonts w:cs="Calibri"/>
                <w:sz w:val="22"/>
                <w:szCs w:val="22"/>
              </w:rPr>
              <w:t>caprins</w:t>
            </w:r>
            <w:proofErr w:type="spellEnd"/>
          </w:p>
        </w:tc>
        <w:tc>
          <w:tcPr>
            <w:tcW w:w="2365" w:type="dxa"/>
            <w:noWrap/>
            <w:hideMark/>
          </w:tcPr>
          <w:p w:rsidR="00146DB7" w:rsidRPr="00FE454A" w:rsidRDefault="00146DB7" w:rsidP="00146DB7">
            <w:pPr>
              <w:jc w:val="right"/>
              <w:rPr>
                <w:rFonts w:cs="Arial"/>
                <w:sz w:val="22"/>
                <w:szCs w:val="22"/>
                <w:lang w:val="en-US"/>
              </w:rPr>
            </w:pPr>
            <w:r w:rsidRPr="00FE454A">
              <w:rPr>
                <w:rFonts w:eastAsiaTheme="minorHAnsi" w:cstheme="minorBidi"/>
                <w:sz w:val="22"/>
                <w:szCs w:val="22"/>
              </w:rPr>
              <w:t>59</w:t>
            </w:r>
          </w:p>
        </w:tc>
        <w:tc>
          <w:tcPr>
            <w:tcW w:w="1330" w:type="dxa"/>
            <w:noWrap/>
            <w:hideMark/>
          </w:tcPr>
          <w:p w:rsidR="00146DB7" w:rsidRPr="00FE454A" w:rsidRDefault="00146DB7" w:rsidP="00146DB7">
            <w:pPr>
              <w:jc w:val="right"/>
              <w:rPr>
                <w:rFonts w:cs="Arial"/>
                <w:sz w:val="22"/>
                <w:szCs w:val="22"/>
                <w:lang w:val="en-US"/>
              </w:rPr>
            </w:pPr>
            <w:r w:rsidRPr="00FE454A">
              <w:rPr>
                <w:rFonts w:eastAsiaTheme="minorHAnsi" w:cstheme="minorBidi"/>
                <w:sz w:val="22"/>
                <w:szCs w:val="22"/>
              </w:rPr>
              <w:t>0,15</w:t>
            </w:r>
          </w:p>
        </w:tc>
        <w:tc>
          <w:tcPr>
            <w:tcW w:w="1560" w:type="dxa"/>
          </w:tcPr>
          <w:p w:rsidR="00146DB7" w:rsidRPr="00FE454A" w:rsidRDefault="00146DB7" w:rsidP="00146DB7">
            <w:pPr>
              <w:jc w:val="right"/>
              <w:rPr>
                <w:rFonts w:cs="Arial"/>
                <w:sz w:val="22"/>
                <w:szCs w:val="22"/>
                <w:lang w:val="en-US"/>
              </w:rPr>
            </w:pPr>
            <w:r w:rsidRPr="00FE454A">
              <w:rPr>
                <w:rFonts w:cs="Arial"/>
                <w:sz w:val="22"/>
                <w:szCs w:val="22"/>
                <w:lang w:val="en-US"/>
              </w:rPr>
              <w:t>8,8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46DB7" w:rsidRPr="00FE454A" w:rsidRDefault="00146DB7" w:rsidP="00146DB7">
            <w:pPr>
              <w:jc w:val="right"/>
              <w:rPr>
                <w:rFonts w:cs="Arial"/>
                <w:sz w:val="22"/>
                <w:szCs w:val="22"/>
                <w:lang w:val="en-US"/>
              </w:rPr>
            </w:pPr>
            <w:r w:rsidRPr="00FE454A">
              <w:rPr>
                <w:rFonts w:eastAsiaTheme="minorHAnsi" w:cs="Calibri"/>
                <w:color w:val="000000"/>
                <w:sz w:val="22"/>
                <w:szCs w:val="22"/>
              </w:rPr>
              <w:t>0,9%</w:t>
            </w:r>
          </w:p>
        </w:tc>
      </w:tr>
      <w:tr w:rsidR="00146DB7" w:rsidRPr="00FE454A" w:rsidTr="009716CF">
        <w:trPr>
          <w:trHeight w:val="20"/>
        </w:trPr>
        <w:tc>
          <w:tcPr>
            <w:tcW w:w="1980" w:type="dxa"/>
            <w:shd w:val="clear" w:color="auto" w:fill="auto"/>
            <w:vAlign w:val="center"/>
            <w:hideMark/>
          </w:tcPr>
          <w:p w:rsidR="00146DB7" w:rsidRPr="00FE454A" w:rsidRDefault="00146DB7" w:rsidP="00146DB7">
            <w:pPr>
              <w:rPr>
                <w:rFonts w:cs="Calibri"/>
                <w:sz w:val="22"/>
                <w:szCs w:val="22"/>
                <w:lang w:val="en-US"/>
              </w:rPr>
            </w:pPr>
            <w:proofErr w:type="spellStart"/>
            <w:r w:rsidRPr="00FE454A">
              <w:rPr>
                <w:rFonts w:cs="Calibri"/>
                <w:sz w:val="22"/>
                <w:szCs w:val="22"/>
              </w:rPr>
              <w:t>Porcins</w:t>
            </w:r>
            <w:proofErr w:type="spellEnd"/>
          </w:p>
        </w:tc>
        <w:tc>
          <w:tcPr>
            <w:tcW w:w="2365" w:type="dxa"/>
            <w:noWrap/>
            <w:hideMark/>
          </w:tcPr>
          <w:p w:rsidR="00146DB7" w:rsidRPr="00FE454A" w:rsidRDefault="00146DB7" w:rsidP="00146DB7">
            <w:pPr>
              <w:jc w:val="right"/>
              <w:rPr>
                <w:rFonts w:cs="Arial"/>
                <w:sz w:val="22"/>
                <w:szCs w:val="22"/>
                <w:lang w:val="en-US"/>
              </w:rPr>
            </w:pPr>
            <w:r w:rsidRPr="00FE454A">
              <w:rPr>
                <w:rFonts w:eastAsiaTheme="minorHAnsi" w:cstheme="minorBidi"/>
                <w:sz w:val="22"/>
                <w:szCs w:val="22"/>
              </w:rPr>
              <w:t>383</w:t>
            </w:r>
          </w:p>
        </w:tc>
        <w:tc>
          <w:tcPr>
            <w:tcW w:w="1330" w:type="dxa"/>
            <w:noWrap/>
            <w:hideMark/>
          </w:tcPr>
          <w:p w:rsidR="00146DB7" w:rsidRPr="00FE454A" w:rsidRDefault="00146DB7" w:rsidP="00146DB7">
            <w:pPr>
              <w:jc w:val="right"/>
              <w:rPr>
                <w:rFonts w:cs="Arial"/>
                <w:sz w:val="22"/>
                <w:szCs w:val="22"/>
                <w:lang w:val="en-US"/>
              </w:rPr>
            </w:pPr>
            <w:r w:rsidRPr="00FE454A">
              <w:rPr>
                <w:rFonts w:eastAsiaTheme="minorHAnsi" w:cstheme="minorBidi"/>
                <w:sz w:val="22"/>
                <w:szCs w:val="22"/>
              </w:rPr>
              <w:t>0,16</w:t>
            </w:r>
          </w:p>
        </w:tc>
        <w:tc>
          <w:tcPr>
            <w:tcW w:w="1560" w:type="dxa"/>
          </w:tcPr>
          <w:p w:rsidR="00146DB7" w:rsidRPr="00FE454A" w:rsidRDefault="00146DB7" w:rsidP="00146DB7">
            <w:pPr>
              <w:jc w:val="right"/>
              <w:rPr>
                <w:rFonts w:cs="Arial"/>
                <w:sz w:val="22"/>
                <w:szCs w:val="22"/>
                <w:lang w:val="en-US"/>
              </w:rPr>
            </w:pPr>
            <w:r w:rsidRPr="00FE454A">
              <w:rPr>
                <w:rFonts w:cs="Arial"/>
                <w:sz w:val="22"/>
                <w:szCs w:val="22"/>
                <w:lang w:val="en-US"/>
              </w:rPr>
              <w:t>23,9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46DB7" w:rsidRPr="00FE454A" w:rsidRDefault="00146DB7" w:rsidP="00146DB7">
            <w:pPr>
              <w:jc w:val="right"/>
              <w:rPr>
                <w:rFonts w:cs="Arial"/>
                <w:sz w:val="22"/>
                <w:szCs w:val="22"/>
                <w:lang w:val="en-US"/>
              </w:rPr>
            </w:pPr>
            <w:r w:rsidRPr="00FE454A">
              <w:rPr>
                <w:rFonts w:eastAsiaTheme="minorHAnsi" w:cs="Calibri"/>
                <w:color w:val="000000"/>
                <w:sz w:val="22"/>
                <w:szCs w:val="22"/>
              </w:rPr>
              <w:t>2,3%</w:t>
            </w:r>
          </w:p>
        </w:tc>
      </w:tr>
      <w:tr w:rsidR="00146DB7" w:rsidRPr="00FE454A" w:rsidTr="009716CF">
        <w:trPr>
          <w:trHeight w:val="20"/>
        </w:trPr>
        <w:tc>
          <w:tcPr>
            <w:tcW w:w="1980" w:type="dxa"/>
            <w:shd w:val="clear" w:color="auto" w:fill="auto"/>
            <w:vAlign w:val="center"/>
            <w:hideMark/>
          </w:tcPr>
          <w:p w:rsidR="00146DB7" w:rsidRPr="00FE454A" w:rsidRDefault="00146DB7" w:rsidP="00146DB7">
            <w:pPr>
              <w:rPr>
                <w:rFonts w:cs="Calibri"/>
                <w:sz w:val="22"/>
                <w:szCs w:val="22"/>
                <w:lang w:val="en-US"/>
              </w:rPr>
            </w:pPr>
            <w:proofErr w:type="spellStart"/>
            <w:r w:rsidRPr="00FE454A">
              <w:rPr>
                <w:rFonts w:cs="Calibri"/>
                <w:sz w:val="22"/>
                <w:szCs w:val="22"/>
              </w:rPr>
              <w:t>Volaille</w:t>
            </w:r>
            <w:proofErr w:type="spellEnd"/>
          </w:p>
        </w:tc>
        <w:tc>
          <w:tcPr>
            <w:tcW w:w="2365" w:type="dxa"/>
            <w:tcBorders>
              <w:bottom w:val="single" w:sz="4" w:space="0" w:color="auto"/>
            </w:tcBorders>
            <w:noWrap/>
            <w:hideMark/>
          </w:tcPr>
          <w:p w:rsidR="00146DB7" w:rsidRPr="00FE454A" w:rsidRDefault="00146DB7" w:rsidP="00146DB7">
            <w:pPr>
              <w:jc w:val="right"/>
              <w:rPr>
                <w:rFonts w:cs="Arial"/>
                <w:sz w:val="22"/>
                <w:szCs w:val="22"/>
                <w:lang w:val="en-US"/>
              </w:rPr>
            </w:pPr>
            <w:r w:rsidRPr="00FE454A">
              <w:rPr>
                <w:rFonts w:eastAsiaTheme="minorHAnsi" w:cstheme="minorBidi"/>
                <w:sz w:val="22"/>
                <w:szCs w:val="22"/>
              </w:rPr>
              <w:t>5611</w:t>
            </w:r>
          </w:p>
        </w:tc>
        <w:tc>
          <w:tcPr>
            <w:tcW w:w="1330" w:type="dxa"/>
            <w:noWrap/>
            <w:hideMark/>
          </w:tcPr>
          <w:p w:rsidR="00146DB7" w:rsidRPr="00FE454A" w:rsidRDefault="00146DB7" w:rsidP="00146DB7">
            <w:pPr>
              <w:jc w:val="right"/>
              <w:rPr>
                <w:rFonts w:cs="Arial"/>
                <w:sz w:val="22"/>
                <w:szCs w:val="22"/>
                <w:lang w:val="en-US"/>
              </w:rPr>
            </w:pPr>
            <w:r w:rsidRPr="00FE454A">
              <w:rPr>
                <w:rFonts w:eastAsiaTheme="minorHAnsi" w:cstheme="minorBidi"/>
                <w:sz w:val="22"/>
                <w:szCs w:val="22"/>
              </w:rPr>
              <w:t>0,005</w:t>
            </w:r>
          </w:p>
        </w:tc>
        <w:tc>
          <w:tcPr>
            <w:tcW w:w="1560" w:type="dxa"/>
          </w:tcPr>
          <w:p w:rsidR="00146DB7" w:rsidRPr="00FE454A" w:rsidRDefault="00146DB7" w:rsidP="00146DB7">
            <w:pPr>
              <w:jc w:val="right"/>
              <w:rPr>
                <w:rFonts w:cs="Arial"/>
                <w:sz w:val="22"/>
                <w:szCs w:val="22"/>
                <w:lang w:val="en-US"/>
              </w:rPr>
            </w:pPr>
            <w:r w:rsidRPr="00FE454A">
              <w:rPr>
                <w:rFonts w:cs="Arial"/>
                <w:sz w:val="22"/>
                <w:szCs w:val="22"/>
                <w:lang w:val="en-US"/>
              </w:rPr>
              <w:t>27,1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46DB7" w:rsidRPr="00FE454A" w:rsidRDefault="00146DB7" w:rsidP="00146DB7">
            <w:pPr>
              <w:jc w:val="right"/>
              <w:rPr>
                <w:rFonts w:cs="Arial"/>
                <w:sz w:val="22"/>
                <w:szCs w:val="22"/>
                <w:lang w:val="en-US"/>
              </w:rPr>
            </w:pPr>
            <w:r w:rsidRPr="00FE454A">
              <w:rPr>
                <w:rFonts w:eastAsiaTheme="minorHAnsi" w:cs="Calibri"/>
                <w:color w:val="000000"/>
                <w:sz w:val="22"/>
                <w:szCs w:val="22"/>
              </w:rPr>
              <w:t>2,6%</w:t>
            </w:r>
          </w:p>
        </w:tc>
      </w:tr>
      <w:tr w:rsidR="00146DB7" w:rsidRPr="00FE454A" w:rsidTr="009716CF">
        <w:trPr>
          <w:trHeight w:val="20"/>
        </w:trPr>
        <w:tc>
          <w:tcPr>
            <w:tcW w:w="1980" w:type="dxa"/>
            <w:shd w:val="clear" w:color="auto" w:fill="auto"/>
            <w:noWrap/>
            <w:vAlign w:val="center"/>
            <w:hideMark/>
          </w:tcPr>
          <w:p w:rsidR="00146DB7" w:rsidRPr="00FE454A" w:rsidRDefault="00146DB7" w:rsidP="00146DB7">
            <w:pPr>
              <w:jc w:val="right"/>
              <w:rPr>
                <w:rFonts w:cs="Arial"/>
                <w:sz w:val="22"/>
                <w:szCs w:val="22"/>
                <w:lang w:val="en-US"/>
              </w:rPr>
            </w:pPr>
            <w:r w:rsidRPr="00FE454A">
              <w:rPr>
                <w:rFonts w:cs="Arial"/>
                <w:sz w:val="22"/>
                <w:szCs w:val="22"/>
                <w:lang w:val="en-US"/>
              </w:rPr>
              <w:t>Total</w:t>
            </w:r>
          </w:p>
        </w:tc>
        <w:tc>
          <w:tcPr>
            <w:tcW w:w="2365" w:type="dxa"/>
            <w:shd w:val="clear" w:color="auto" w:fill="auto"/>
            <w:noWrap/>
            <w:vAlign w:val="center"/>
          </w:tcPr>
          <w:p w:rsidR="00146DB7" w:rsidRPr="00FE454A" w:rsidRDefault="00146DB7" w:rsidP="00146DB7">
            <w:pPr>
              <w:jc w:val="right"/>
              <w:rPr>
                <w:rFonts w:cs="Arial"/>
                <w:sz w:val="22"/>
                <w:szCs w:val="22"/>
                <w:lang w:val="en-US"/>
              </w:rPr>
            </w:pPr>
          </w:p>
        </w:tc>
        <w:tc>
          <w:tcPr>
            <w:tcW w:w="1330" w:type="dxa"/>
            <w:shd w:val="clear" w:color="auto" w:fill="auto"/>
            <w:noWrap/>
            <w:vAlign w:val="center"/>
          </w:tcPr>
          <w:p w:rsidR="00146DB7" w:rsidRPr="00FE454A" w:rsidRDefault="00146DB7" w:rsidP="00146DB7">
            <w:pPr>
              <w:jc w:val="right"/>
              <w:rPr>
                <w:rFonts w:cs="Arial"/>
                <w:sz w:val="22"/>
                <w:szCs w:val="22"/>
                <w:lang w:val="en-US"/>
              </w:rPr>
            </w:pPr>
          </w:p>
        </w:tc>
        <w:tc>
          <w:tcPr>
            <w:tcW w:w="1560" w:type="dxa"/>
          </w:tcPr>
          <w:p w:rsidR="00146DB7" w:rsidRPr="00FE454A" w:rsidRDefault="00146DB7" w:rsidP="00146DB7">
            <w:pPr>
              <w:jc w:val="right"/>
              <w:rPr>
                <w:rFonts w:cs="Arial"/>
                <w:sz w:val="22"/>
                <w:szCs w:val="22"/>
                <w:lang w:val="en-US"/>
              </w:rPr>
            </w:pPr>
            <w:r w:rsidRPr="00FE454A">
              <w:rPr>
                <w:rFonts w:cs="Arial"/>
                <w:sz w:val="22"/>
                <w:szCs w:val="22"/>
                <w:lang w:val="en-US"/>
              </w:rPr>
              <w:t>1024,9</w:t>
            </w:r>
          </w:p>
        </w:tc>
        <w:tc>
          <w:tcPr>
            <w:tcW w:w="1701" w:type="dxa"/>
            <w:tcBorders>
              <w:top w:val="single" w:sz="4" w:space="0" w:color="auto"/>
            </w:tcBorders>
            <w:shd w:val="clear" w:color="auto" w:fill="auto"/>
            <w:noWrap/>
            <w:vAlign w:val="center"/>
            <w:hideMark/>
          </w:tcPr>
          <w:p w:rsidR="00146DB7" w:rsidRPr="00FE454A" w:rsidRDefault="00146DB7" w:rsidP="00146DB7">
            <w:pPr>
              <w:jc w:val="right"/>
              <w:rPr>
                <w:rFonts w:cs="Arial"/>
                <w:sz w:val="22"/>
                <w:szCs w:val="22"/>
                <w:lang w:val="en-US"/>
              </w:rPr>
            </w:pPr>
            <w:r w:rsidRPr="00FE454A">
              <w:rPr>
                <w:rFonts w:cs="Arial"/>
                <w:sz w:val="22"/>
                <w:szCs w:val="22"/>
                <w:lang w:val="en-US"/>
              </w:rPr>
              <w:t>100,0%</w:t>
            </w:r>
          </w:p>
        </w:tc>
      </w:tr>
    </w:tbl>
    <w:p w:rsidR="00FE454A" w:rsidRDefault="00FE454A" w:rsidP="00146DB7">
      <w:pPr>
        <w:spacing w:after="160"/>
        <w:rPr>
          <w:rFonts w:eastAsiaTheme="minorHAnsi" w:cstheme="minorBidi"/>
          <w:szCs w:val="22"/>
        </w:rPr>
      </w:pPr>
    </w:p>
    <w:p w:rsidR="00146DB7" w:rsidRPr="00057CAF" w:rsidRDefault="00146DB7" w:rsidP="00146DB7">
      <w:pPr>
        <w:spacing w:after="160"/>
        <w:rPr>
          <w:rFonts w:eastAsiaTheme="minorHAnsi" w:cstheme="minorBidi"/>
          <w:szCs w:val="22"/>
          <w:lang w:val="fr-FR"/>
        </w:rPr>
      </w:pPr>
      <w:r w:rsidRPr="00057CAF">
        <w:rPr>
          <w:rFonts w:eastAsiaTheme="minorHAnsi" w:cstheme="minorBidi"/>
          <w:szCs w:val="22"/>
          <w:lang w:val="fr-FR"/>
        </w:rPr>
        <w:t>Les ruminants ingéreraient donc quelque 94,2% de l’azote total consommé par les animaux d’élevage, estimé à 105 kT (flux FE5+FI3 de l’</w:t>
      </w:r>
      <w:r w:rsidR="00BF3578" w:rsidRPr="00057CAF">
        <w:rPr>
          <w:rFonts w:eastAsiaTheme="minorHAnsi" w:cstheme="minorBidi"/>
          <w:szCs w:val="22"/>
          <w:lang w:val="fr-FR"/>
        </w:rPr>
        <w:t>Annexe 5</w:t>
      </w:r>
      <w:r w:rsidRPr="00057CAF">
        <w:rPr>
          <w:rFonts w:eastAsiaTheme="minorHAnsi" w:cstheme="minorBidi"/>
          <w:szCs w:val="22"/>
          <w:lang w:val="fr-FR"/>
        </w:rPr>
        <w:t xml:space="preserve">), soit 99 </w:t>
      </w:r>
      <w:r w:rsidR="00467012" w:rsidRPr="00057CAF">
        <w:rPr>
          <w:rFonts w:eastAsiaTheme="minorHAnsi" w:cstheme="minorBidi"/>
          <w:szCs w:val="22"/>
          <w:lang w:val="fr-FR"/>
        </w:rPr>
        <w:t>KT</w:t>
      </w:r>
      <w:r w:rsidRPr="00057CAF">
        <w:rPr>
          <w:rFonts w:eastAsiaTheme="minorHAnsi" w:cstheme="minorBidi"/>
          <w:szCs w:val="22"/>
          <w:lang w:val="fr-FR"/>
        </w:rPr>
        <w:t xml:space="preserve"> N</w:t>
      </w:r>
      <w:r w:rsidR="00467012" w:rsidRPr="00057CAF">
        <w:rPr>
          <w:rFonts w:eastAsiaTheme="minorHAnsi" w:cstheme="minorBidi"/>
          <w:szCs w:val="22"/>
          <w:lang w:val="fr-FR"/>
        </w:rPr>
        <w:t>.</w:t>
      </w:r>
    </w:p>
    <w:p w:rsidR="00146DB7" w:rsidRPr="00057CAF" w:rsidRDefault="00146DB7" w:rsidP="00146DB7">
      <w:pPr>
        <w:spacing w:after="160"/>
        <w:rPr>
          <w:rFonts w:eastAsiaTheme="minorHAnsi" w:cstheme="minorBidi"/>
          <w:szCs w:val="22"/>
          <w:lang w:val="fr-FR"/>
        </w:rPr>
      </w:pPr>
      <w:r w:rsidRPr="00057CAF">
        <w:rPr>
          <w:rFonts w:eastAsiaTheme="minorHAnsi" w:cstheme="minorBidi"/>
          <w:szCs w:val="22"/>
          <w:lang w:val="fr-FR"/>
        </w:rPr>
        <w:t xml:space="preserve">L’efficience azotée (rendement de transformation de l’azote ingéré en azote inclus dans la production) est estimée voisine de 20% (28% pour les vaches laitières, 17-19% pour les autres bovins ; </w:t>
      </w:r>
      <w:r w:rsidR="00BF3578" w:rsidRPr="00057CAF">
        <w:rPr>
          <w:rFonts w:eastAsiaTheme="minorHAnsi" w:cstheme="minorBidi"/>
          <w:szCs w:val="22"/>
          <w:lang w:val="fr-FR"/>
        </w:rPr>
        <w:t>Annexe 5</w:t>
      </w:r>
      <w:r w:rsidRPr="00057CAF">
        <w:rPr>
          <w:rFonts w:eastAsiaTheme="minorHAnsi" w:cstheme="minorBidi"/>
          <w:szCs w:val="22"/>
          <w:lang w:val="fr-FR"/>
        </w:rPr>
        <w:t xml:space="preserve">). Avec une efficience de 20%, les déjections (part de FI5) des ruminants représenteraient 80 % des 99 kT, soit 80 kT. A partir de ces déjections, les pertes d’azote avant l’utilisation comme engrais sont estimées de </w:t>
      </w:r>
      <w:r w:rsidRPr="00057CAF">
        <w:rPr>
          <w:rFonts w:eastAsiaTheme="minorHAnsi" w:cstheme="minorBidi"/>
          <w:szCs w:val="22"/>
          <w:lang w:val="fr-FR" w:eastAsia="pl-PL"/>
        </w:rPr>
        <w:t xml:space="preserve">l’ordre de 14% chez les bovins </w:t>
      </w:r>
      <w:r w:rsidRPr="00057CAF">
        <w:rPr>
          <w:rFonts w:eastAsiaTheme="minorHAnsi" w:cstheme="minorBidi"/>
          <w:szCs w:val="22"/>
          <w:lang w:val="fr-FR"/>
        </w:rPr>
        <w:t xml:space="preserve">(Peyraud </w:t>
      </w:r>
      <w:r w:rsidRPr="00057CAF">
        <w:rPr>
          <w:rFonts w:eastAsiaTheme="minorHAnsi" w:cstheme="minorBidi"/>
          <w:i/>
          <w:szCs w:val="22"/>
          <w:lang w:val="fr-FR"/>
        </w:rPr>
        <w:t>et al.,</w:t>
      </w:r>
      <w:r w:rsidRPr="00057CAF">
        <w:rPr>
          <w:rFonts w:eastAsiaTheme="minorHAnsi" w:cstheme="minorBidi"/>
          <w:szCs w:val="22"/>
          <w:lang w:val="fr-FR"/>
        </w:rPr>
        <w:t xml:space="preserve"> 2012, Béline </w:t>
      </w:r>
      <w:r w:rsidRPr="00057CAF">
        <w:rPr>
          <w:rFonts w:eastAsiaTheme="minorHAnsi" w:cstheme="minorBidi"/>
          <w:i/>
          <w:szCs w:val="22"/>
          <w:lang w:val="fr-FR"/>
        </w:rPr>
        <w:t>et al.,</w:t>
      </w:r>
      <w:r w:rsidRPr="00057CAF">
        <w:rPr>
          <w:rFonts w:eastAsiaTheme="minorHAnsi" w:cstheme="minorBidi"/>
          <w:szCs w:val="22"/>
          <w:lang w:val="fr-FR"/>
        </w:rPr>
        <w:t xml:space="preserve"> 2006), de sorte que l’azote d’origine ruminante disponible comme engrais (FI2) représente 86% de 80 kT = 69 kT.</w:t>
      </w:r>
    </w:p>
    <w:p w:rsidR="00146DB7" w:rsidRPr="00057CAF" w:rsidRDefault="00146DB7" w:rsidP="00146DB7">
      <w:pPr>
        <w:spacing w:after="160"/>
        <w:rPr>
          <w:rFonts w:eastAsiaTheme="minorHAnsi" w:cstheme="minorBidi"/>
          <w:szCs w:val="22"/>
          <w:lang w:val="fr-FR"/>
        </w:rPr>
      </w:pPr>
      <w:r w:rsidRPr="00057CAF">
        <w:rPr>
          <w:rFonts w:eastAsiaTheme="minorHAnsi" w:cstheme="minorBidi"/>
          <w:szCs w:val="22"/>
          <w:lang w:val="fr-FR"/>
        </w:rPr>
        <w:t xml:space="preserve">La production fourragère (des prés, pâtures et cultures fourragères) représente pour sa part 68 kT (FI3, </w:t>
      </w:r>
      <w:r w:rsidR="00BF3578" w:rsidRPr="00057CAF">
        <w:rPr>
          <w:rFonts w:eastAsiaTheme="minorHAnsi" w:cstheme="minorBidi"/>
          <w:szCs w:val="22"/>
          <w:lang w:val="fr-FR"/>
        </w:rPr>
        <w:t>Annexe 5</w:t>
      </w:r>
      <w:r w:rsidRPr="00057CAF">
        <w:rPr>
          <w:rFonts w:eastAsiaTheme="minorHAnsi" w:cstheme="minorBidi"/>
          <w:szCs w:val="22"/>
          <w:lang w:val="fr-FR"/>
        </w:rPr>
        <w:t xml:space="preserve">), allant en quasi-totalité aux ruminants. </w:t>
      </w:r>
    </w:p>
    <w:p w:rsidR="00146DB7" w:rsidRPr="00057CAF" w:rsidRDefault="00146DB7" w:rsidP="00146DB7">
      <w:pPr>
        <w:spacing w:after="160"/>
        <w:rPr>
          <w:rFonts w:eastAsiaTheme="minorHAnsi" w:cstheme="minorBidi"/>
          <w:szCs w:val="22"/>
          <w:lang w:val="fr-FR"/>
        </w:rPr>
      </w:pPr>
      <w:r w:rsidRPr="00057CAF">
        <w:rPr>
          <w:rFonts w:eastAsiaTheme="minorHAnsi" w:cstheme="minorBidi"/>
          <w:szCs w:val="22"/>
          <w:lang w:val="fr-FR"/>
        </w:rPr>
        <w:t xml:space="preserve">En plus ceux-ci consommeraient 37 kT d’N sous forme d’aliments (FE5, </w:t>
      </w:r>
      <w:r w:rsidR="00BF3578" w:rsidRPr="00057CAF">
        <w:rPr>
          <w:rFonts w:eastAsiaTheme="minorHAnsi" w:cstheme="minorBidi"/>
          <w:szCs w:val="22"/>
          <w:lang w:val="fr-FR"/>
        </w:rPr>
        <w:t>Annexe 5</w:t>
      </w:r>
      <w:r w:rsidRPr="00057CAF">
        <w:rPr>
          <w:rFonts w:eastAsiaTheme="minorHAnsi" w:cstheme="minorBidi"/>
          <w:szCs w:val="22"/>
          <w:lang w:val="fr-FR"/>
        </w:rPr>
        <w:t>) dont une part est importée de l’extérieur de l’UE (soja), une part produite en Belgique ou dans l’UE (céréales, farine de colza), et une dernière part issue de sous-produits de l’industrie alimentaire. Les données recueillies (</w:t>
      </w:r>
      <w:proofErr w:type="spellStart"/>
      <w:r w:rsidRPr="00057CAF">
        <w:rPr>
          <w:rFonts w:eastAsiaTheme="minorHAnsi" w:cstheme="minorBidi"/>
          <w:szCs w:val="22"/>
          <w:lang w:val="fr-FR"/>
        </w:rPr>
        <w:t>Riera</w:t>
      </w:r>
      <w:proofErr w:type="spellEnd"/>
      <w:r w:rsidRPr="00057CAF">
        <w:rPr>
          <w:rFonts w:eastAsiaTheme="minorHAnsi" w:cstheme="minorBidi"/>
          <w:szCs w:val="22"/>
          <w:lang w:val="fr-FR"/>
        </w:rPr>
        <w:t xml:space="preserve"> et al. 2019) ne permettent pas de mesurer la part produite en Wallonie mais elles indiquent que la farine de soja représente 28% des aliments riches en protéine dans l’élevage laitier, suggérant que la plus grande part des 37 kT d’azote des aliments (mais moins de 34 kT) est d’origine européenne.  </w:t>
      </w:r>
    </w:p>
    <w:p w:rsidR="00146DB7" w:rsidRPr="00057CAF" w:rsidRDefault="00146DB7" w:rsidP="00146DB7">
      <w:pPr>
        <w:spacing w:after="160"/>
        <w:rPr>
          <w:rFonts w:eastAsiaTheme="minorHAnsi" w:cstheme="minorBidi"/>
          <w:szCs w:val="22"/>
          <w:lang w:val="fr-FR"/>
        </w:rPr>
      </w:pPr>
      <w:r w:rsidRPr="00057CAF">
        <w:rPr>
          <w:rFonts w:eastAsiaTheme="minorHAnsi" w:cstheme="minorBidi"/>
          <w:szCs w:val="22"/>
          <w:lang w:val="fr-FR"/>
        </w:rPr>
        <w:t xml:space="preserve">Entre 68 et 102 kT N de la production primaire wallonne iraient donc aux ruminants. Comme 33% du N appliqué comme engrais (FS1/(FE3+FI2)) est perdu dans l’environnement, les 68 à 102 kT N demandent 102 à 153 kT N d’engrais, alors que les ruminants apportent quelque 69 kT au sol. Le déficit est donc de 33 à 84 kT, ce qui représente 34 à 88 kg N/UGB, à combler par des engrais minéraux. </w:t>
      </w:r>
    </w:p>
    <w:p w:rsidR="00FE454A" w:rsidRPr="00057CAF" w:rsidRDefault="00FE454A" w:rsidP="00146DB7">
      <w:pPr>
        <w:spacing w:after="160"/>
        <w:rPr>
          <w:rFonts w:eastAsiaTheme="minorHAnsi" w:cstheme="minorBidi"/>
          <w:szCs w:val="22"/>
          <w:lang w:val="fr-FR"/>
        </w:rPr>
      </w:pPr>
      <w:r w:rsidRPr="00057CAF">
        <w:rPr>
          <w:rFonts w:eastAsiaTheme="minorHAnsi" w:cstheme="minorBidi"/>
          <w:szCs w:val="22"/>
          <w:lang w:val="fr-FR"/>
        </w:rPr>
        <w:br w:type="page"/>
      </w:r>
    </w:p>
    <w:p w:rsidR="00FE454A" w:rsidRPr="00057CAF" w:rsidRDefault="00FE454A" w:rsidP="00146DB7">
      <w:pPr>
        <w:spacing w:after="160"/>
        <w:rPr>
          <w:rFonts w:eastAsiaTheme="minorHAnsi" w:cstheme="minorBidi"/>
          <w:szCs w:val="22"/>
          <w:lang w:val="fr-FR"/>
        </w:rPr>
        <w:sectPr w:rsidR="00FE454A" w:rsidRPr="00057CAF" w:rsidSect="0050022D">
          <w:type w:val="oddPage"/>
          <w:pgSz w:w="11906" w:h="16838"/>
          <w:pgMar w:top="1417" w:right="1417" w:bottom="1417" w:left="1417" w:header="708" w:footer="708" w:gutter="0"/>
          <w:cols w:space="708"/>
          <w:docGrid w:linePitch="360"/>
        </w:sectPr>
      </w:pPr>
    </w:p>
    <w:p w:rsidR="00146DB7" w:rsidRPr="00146DB7" w:rsidRDefault="00146DB7" w:rsidP="00146DB7">
      <w:pPr>
        <w:spacing w:after="160"/>
        <w:rPr>
          <w:rFonts w:eastAsiaTheme="minorHAnsi" w:cstheme="minorBidi"/>
          <w:szCs w:val="22"/>
        </w:rPr>
      </w:pPr>
      <w:r w:rsidRPr="00146DB7">
        <w:rPr>
          <w:rFonts w:eastAsiaTheme="minorHAnsi" w:cstheme="minorBidi"/>
          <w:szCs w:val="22"/>
        </w:rPr>
        <w:lastRenderedPageBreak/>
        <w:t>Résumé des conclusions</w:t>
      </w:r>
    </w:p>
    <w:tbl>
      <w:tblPr>
        <w:tblStyle w:val="Grilledutableau10"/>
        <w:tblW w:w="9067" w:type="dxa"/>
        <w:tblLook w:val="04A0" w:firstRow="1" w:lastRow="0" w:firstColumn="1" w:lastColumn="0" w:noHBand="0" w:noVBand="1"/>
      </w:tblPr>
      <w:tblGrid>
        <w:gridCol w:w="4673"/>
        <w:gridCol w:w="4394"/>
      </w:tblGrid>
      <w:tr w:rsidR="00146DB7" w:rsidRPr="00E9242B" w:rsidTr="00FE454A">
        <w:tc>
          <w:tcPr>
            <w:tcW w:w="4673" w:type="dxa"/>
            <w:shd w:val="clear" w:color="auto" w:fill="A50021"/>
          </w:tcPr>
          <w:p w:rsidR="00146DB7" w:rsidRPr="00146DB7" w:rsidRDefault="00146DB7" w:rsidP="00146DB7"/>
        </w:tc>
        <w:tc>
          <w:tcPr>
            <w:tcW w:w="4394" w:type="dxa"/>
            <w:shd w:val="clear" w:color="auto" w:fill="A50021"/>
          </w:tcPr>
          <w:p w:rsidR="00146DB7" w:rsidRPr="00057CAF" w:rsidRDefault="00146DB7" w:rsidP="00146DB7">
            <w:pPr>
              <w:rPr>
                <w:lang w:val="fr-FR"/>
              </w:rPr>
            </w:pPr>
            <w:r w:rsidRPr="00057CAF">
              <w:rPr>
                <w:lang w:val="fr-FR"/>
              </w:rPr>
              <w:t>Par UGB (ruminant) et par an</w:t>
            </w:r>
          </w:p>
        </w:tc>
      </w:tr>
      <w:tr w:rsidR="00146DB7" w:rsidRPr="00146DB7" w:rsidTr="009716CF">
        <w:tc>
          <w:tcPr>
            <w:tcW w:w="4673" w:type="dxa"/>
          </w:tcPr>
          <w:p w:rsidR="00146DB7" w:rsidRPr="00146DB7" w:rsidRDefault="00146DB7" w:rsidP="00146DB7">
            <w:r w:rsidRPr="00146DB7">
              <w:t xml:space="preserve">Utilisation </w:t>
            </w:r>
            <w:proofErr w:type="spellStart"/>
            <w:r w:rsidRPr="00146DB7">
              <w:t>d’engrais</w:t>
            </w:r>
            <w:proofErr w:type="spellEnd"/>
            <w:r w:rsidRPr="00146DB7">
              <w:t xml:space="preserve"> </w:t>
            </w:r>
            <w:proofErr w:type="spellStart"/>
            <w:r w:rsidRPr="00146DB7">
              <w:t>minéraux</w:t>
            </w:r>
            <w:proofErr w:type="spellEnd"/>
            <w:r w:rsidRPr="00146DB7">
              <w:t xml:space="preserve"> </w:t>
            </w:r>
            <w:proofErr w:type="spellStart"/>
            <w:r w:rsidRPr="00146DB7">
              <w:t>azotés</w:t>
            </w:r>
            <w:proofErr w:type="spellEnd"/>
          </w:p>
        </w:tc>
        <w:tc>
          <w:tcPr>
            <w:tcW w:w="4394" w:type="dxa"/>
          </w:tcPr>
          <w:p w:rsidR="00146DB7" w:rsidRPr="00146DB7" w:rsidRDefault="00146DB7" w:rsidP="00146DB7">
            <w:r w:rsidRPr="00146DB7">
              <w:t>34-88 kg N/UGB.</w:t>
            </w:r>
          </w:p>
        </w:tc>
      </w:tr>
      <w:tr w:rsidR="00146DB7" w:rsidRPr="00146DB7" w:rsidTr="009716CF">
        <w:tc>
          <w:tcPr>
            <w:tcW w:w="4673" w:type="dxa"/>
          </w:tcPr>
          <w:p w:rsidR="00146DB7" w:rsidRPr="00057CAF" w:rsidRDefault="00146DB7" w:rsidP="00146DB7">
            <w:pPr>
              <w:rPr>
                <w:lang w:val="fr-FR"/>
              </w:rPr>
            </w:pPr>
            <w:r w:rsidRPr="00057CAF">
              <w:rPr>
                <w:lang w:val="fr-FR"/>
              </w:rPr>
              <w:t>Utilisation d’aliments du bétail externes au système</w:t>
            </w:r>
          </w:p>
        </w:tc>
        <w:tc>
          <w:tcPr>
            <w:tcW w:w="4394" w:type="dxa"/>
          </w:tcPr>
          <w:p w:rsidR="00146DB7" w:rsidRPr="00146DB7" w:rsidRDefault="00146DB7" w:rsidP="00146DB7">
            <w:r w:rsidRPr="00146DB7">
              <w:t>37-3 kg N/UGB</w:t>
            </w:r>
          </w:p>
        </w:tc>
      </w:tr>
      <w:tr w:rsidR="00146DB7" w:rsidRPr="00146DB7" w:rsidTr="009716CF">
        <w:tc>
          <w:tcPr>
            <w:tcW w:w="4673" w:type="dxa"/>
          </w:tcPr>
          <w:p w:rsidR="00146DB7" w:rsidRPr="00057CAF" w:rsidRDefault="00146DB7" w:rsidP="00146DB7">
            <w:pPr>
              <w:rPr>
                <w:lang w:val="fr-FR"/>
              </w:rPr>
            </w:pPr>
            <w:r w:rsidRPr="00057CAF">
              <w:rPr>
                <w:lang w:val="fr-FR"/>
              </w:rPr>
              <w:t>Flux total d’azote pénétrant le système</w:t>
            </w:r>
          </w:p>
        </w:tc>
        <w:tc>
          <w:tcPr>
            <w:tcW w:w="4394" w:type="dxa"/>
          </w:tcPr>
          <w:p w:rsidR="00146DB7" w:rsidRPr="00146DB7" w:rsidRDefault="00146DB7" w:rsidP="00146DB7">
            <w:r w:rsidRPr="00146DB7">
              <w:t>71-91 kg N/UGB</w:t>
            </w:r>
          </w:p>
        </w:tc>
      </w:tr>
      <w:tr w:rsidR="00146DB7" w:rsidRPr="00E9242B" w:rsidTr="009716CF">
        <w:tc>
          <w:tcPr>
            <w:tcW w:w="4673" w:type="dxa"/>
          </w:tcPr>
          <w:p w:rsidR="00146DB7" w:rsidRPr="00057CAF" w:rsidRDefault="00146DB7" w:rsidP="00146DB7">
            <w:pPr>
              <w:rPr>
                <w:lang w:val="fr-FR"/>
              </w:rPr>
            </w:pPr>
            <w:r w:rsidRPr="00057CAF">
              <w:rPr>
                <w:lang w:val="fr-FR"/>
              </w:rPr>
              <w:t>Flux total d’azote quittant le système</w:t>
            </w:r>
          </w:p>
        </w:tc>
        <w:tc>
          <w:tcPr>
            <w:tcW w:w="4394" w:type="dxa"/>
          </w:tcPr>
          <w:p w:rsidR="00146DB7" w:rsidRPr="00057CAF" w:rsidRDefault="00146DB7" w:rsidP="00146DB7">
            <w:pPr>
              <w:rPr>
                <w:lang w:val="fr-FR"/>
              </w:rPr>
            </w:pPr>
            <w:r w:rsidRPr="00057CAF">
              <w:rPr>
                <w:lang w:val="fr-FR"/>
              </w:rPr>
              <w:t>71-91 kg N/UGB – variation annuelle de stock</w:t>
            </w:r>
          </w:p>
        </w:tc>
      </w:tr>
      <w:tr w:rsidR="00146DB7" w:rsidRPr="00146DB7" w:rsidTr="009716CF">
        <w:tc>
          <w:tcPr>
            <w:tcW w:w="4673" w:type="dxa"/>
          </w:tcPr>
          <w:p w:rsidR="00146DB7" w:rsidRPr="00057CAF" w:rsidRDefault="00146DB7" w:rsidP="00146DB7">
            <w:pPr>
              <w:rPr>
                <w:lang w:val="fr-FR"/>
              </w:rPr>
            </w:pPr>
            <w:r w:rsidRPr="00057CAF">
              <w:rPr>
                <w:lang w:val="fr-FR"/>
              </w:rPr>
              <w:t>Utilisation (et production) d’engrais organique</w:t>
            </w:r>
          </w:p>
        </w:tc>
        <w:tc>
          <w:tcPr>
            <w:tcW w:w="4394" w:type="dxa"/>
          </w:tcPr>
          <w:p w:rsidR="00146DB7" w:rsidRPr="00146DB7" w:rsidRDefault="00146DB7" w:rsidP="00146DB7">
            <w:r w:rsidRPr="00146DB7">
              <w:t>72 kg N/UGB</w:t>
            </w:r>
          </w:p>
        </w:tc>
      </w:tr>
      <w:tr w:rsidR="00146DB7" w:rsidRPr="00146DB7" w:rsidTr="009716CF">
        <w:tc>
          <w:tcPr>
            <w:tcW w:w="4673" w:type="dxa"/>
          </w:tcPr>
          <w:p w:rsidR="00146DB7" w:rsidRPr="00146DB7" w:rsidRDefault="00146DB7" w:rsidP="00146DB7">
            <w:r w:rsidRPr="00146DB7">
              <w:t xml:space="preserve">Utilisation </w:t>
            </w:r>
            <w:proofErr w:type="spellStart"/>
            <w:r w:rsidRPr="00146DB7">
              <w:t>totale</w:t>
            </w:r>
            <w:proofErr w:type="spellEnd"/>
            <w:r w:rsidRPr="00146DB7">
              <w:t xml:space="preserve"> </w:t>
            </w:r>
            <w:proofErr w:type="spellStart"/>
            <w:r w:rsidRPr="00146DB7">
              <w:t>d’engrais</w:t>
            </w:r>
            <w:proofErr w:type="spellEnd"/>
          </w:p>
        </w:tc>
        <w:tc>
          <w:tcPr>
            <w:tcW w:w="4394" w:type="dxa"/>
          </w:tcPr>
          <w:p w:rsidR="00146DB7" w:rsidRPr="00146DB7" w:rsidRDefault="00146DB7" w:rsidP="00146DB7">
            <w:r w:rsidRPr="00146DB7">
              <w:t>106-160 kg N/UGB</w:t>
            </w:r>
          </w:p>
        </w:tc>
      </w:tr>
    </w:tbl>
    <w:p w:rsidR="00146DB7" w:rsidRPr="00057CAF" w:rsidRDefault="00146DB7" w:rsidP="00467012">
      <w:pPr>
        <w:spacing w:after="160"/>
        <w:rPr>
          <w:rFonts w:eastAsiaTheme="minorHAnsi" w:cstheme="minorBidi"/>
          <w:szCs w:val="22"/>
          <w:lang w:val="fr-FR"/>
        </w:rPr>
      </w:pPr>
      <w:r w:rsidRPr="00057CAF">
        <w:rPr>
          <w:rFonts w:eastAsiaTheme="minorHAnsi" w:cstheme="minorHAnsi"/>
          <w:color w:val="000000"/>
          <w:szCs w:val="22"/>
          <w:lang w:val="fr-FR"/>
        </w:rPr>
        <w:t>Cependant il faudrait tenir compte du fait que l’impact sur FE5 serait plus que proportionnel à celui sur le cheptel. En effet, d’apr</w:t>
      </w:r>
      <w:r w:rsidRPr="00057CAF">
        <w:rPr>
          <w:rFonts w:eastAsiaTheme="minorHAnsi" w:cstheme="minorHAnsi"/>
          <w:szCs w:val="22"/>
          <w:lang w:val="fr-FR"/>
        </w:rPr>
        <w:t xml:space="preserve">ès nos calculs fondés sur les données de la </w:t>
      </w:r>
      <w:proofErr w:type="spellStart"/>
      <w:r w:rsidRPr="00057CAF">
        <w:rPr>
          <w:rFonts w:eastAsiaTheme="minorHAnsi" w:cstheme="minorHAnsi"/>
          <w:szCs w:val="22"/>
          <w:lang w:val="fr-FR"/>
        </w:rPr>
        <w:t>DGoARNE</w:t>
      </w:r>
      <w:proofErr w:type="spellEnd"/>
      <w:r w:rsidRPr="00057CAF">
        <w:rPr>
          <w:rFonts w:eastAsiaTheme="minorHAnsi" w:cstheme="minorHAnsi"/>
          <w:szCs w:val="22"/>
          <w:lang w:val="fr-FR"/>
        </w:rPr>
        <w:t>, 2006-2017, la charge par superficie fourragère (prairies et cultures fourragères) diminue (-5% en 10 ans) moins vite que la charge générale (- 8%), ce qui suggère une tendance, lorsque le bétail décroit, à réduire la part des autres sources d’aliment (aliments produits localement, comme les céréales et pulpes de betteraves, ou aliments importés).</w:t>
      </w:r>
    </w:p>
    <w:p w:rsidR="00146DB7" w:rsidRPr="00057CAF" w:rsidRDefault="00146DB7" w:rsidP="00FE454A">
      <w:pPr>
        <w:pStyle w:val="Titre2"/>
        <w:rPr>
          <w:lang w:val="fr-FR"/>
        </w:rPr>
      </w:pPr>
      <w:bookmarkStart w:id="122" w:name="_Toc1055158"/>
      <w:bookmarkStart w:id="123" w:name="_Toc11278979"/>
      <w:bookmarkStart w:id="124" w:name="_Toc11333824"/>
      <w:bookmarkStart w:id="125" w:name="_Toc25688796"/>
      <w:r w:rsidRPr="00057CAF">
        <w:rPr>
          <w:lang w:val="fr-FR"/>
        </w:rPr>
        <w:t>4. Impact environnemental d’une variation unitaire du cheptel</w:t>
      </w:r>
      <w:bookmarkEnd w:id="122"/>
      <w:bookmarkEnd w:id="123"/>
      <w:bookmarkEnd w:id="124"/>
      <w:bookmarkEnd w:id="125"/>
    </w:p>
    <w:tbl>
      <w:tblPr>
        <w:tblStyle w:val="Grilledutableau10"/>
        <w:tblW w:w="0" w:type="auto"/>
        <w:tblLook w:val="04A0" w:firstRow="1" w:lastRow="0" w:firstColumn="1" w:lastColumn="0" w:noHBand="0" w:noVBand="1"/>
      </w:tblPr>
      <w:tblGrid>
        <w:gridCol w:w="1912"/>
        <w:gridCol w:w="627"/>
        <w:gridCol w:w="4959"/>
        <w:gridCol w:w="1564"/>
      </w:tblGrid>
      <w:tr w:rsidR="00146DB7" w:rsidRPr="00FE454A" w:rsidTr="00FE454A">
        <w:tc>
          <w:tcPr>
            <w:tcW w:w="1928" w:type="dxa"/>
            <w:shd w:val="clear" w:color="auto" w:fill="A50021"/>
          </w:tcPr>
          <w:p w:rsidR="00146DB7" w:rsidRPr="00FE454A" w:rsidRDefault="007071BD" w:rsidP="00146DB7">
            <w:pPr>
              <w:rPr>
                <w:rFonts w:cstheme="minorHAnsi"/>
              </w:rPr>
            </w:pPr>
            <w:proofErr w:type="spellStart"/>
            <w:r w:rsidRPr="00FE454A">
              <w:rPr>
                <w:rFonts w:cstheme="minorHAnsi"/>
              </w:rPr>
              <w:t>Thme</w:t>
            </w:r>
            <w:proofErr w:type="spellEnd"/>
          </w:p>
        </w:tc>
        <w:tc>
          <w:tcPr>
            <w:tcW w:w="561" w:type="dxa"/>
            <w:shd w:val="clear" w:color="auto" w:fill="A50021"/>
          </w:tcPr>
          <w:p w:rsidR="00146DB7" w:rsidRPr="00FE454A" w:rsidRDefault="00146DB7" w:rsidP="00146DB7">
            <w:pPr>
              <w:rPr>
                <w:rFonts w:cstheme="minorHAnsi"/>
              </w:rPr>
            </w:pPr>
            <w:r w:rsidRPr="00FE454A">
              <w:rPr>
                <w:rFonts w:cstheme="minorHAnsi"/>
              </w:rPr>
              <w:t>Q</w:t>
            </w:r>
          </w:p>
        </w:tc>
        <w:tc>
          <w:tcPr>
            <w:tcW w:w="5019" w:type="dxa"/>
            <w:shd w:val="clear" w:color="auto" w:fill="A50021"/>
          </w:tcPr>
          <w:p w:rsidR="00146DB7" w:rsidRPr="00FE454A" w:rsidRDefault="00146DB7" w:rsidP="00146DB7">
            <w:pPr>
              <w:rPr>
                <w:rFonts w:cstheme="minorHAnsi"/>
              </w:rPr>
            </w:pPr>
            <w:r w:rsidRPr="00FE454A">
              <w:rPr>
                <w:rFonts w:cstheme="minorHAnsi"/>
              </w:rPr>
              <w:t>Explication</w:t>
            </w:r>
          </w:p>
        </w:tc>
        <w:tc>
          <w:tcPr>
            <w:tcW w:w="1554" w:type="dxa"/>
            <w:shd w:val="clear" w:color="auto" w:fill="A50021"/>
          </w:tcPr>
          <w:p w:rsidR="00146DB7" w:rsidRPr="00FE454A" w:rsidRDefault="00146DB7" w:rsidP="00146DB7">
            <w:pPr>
              <w:rPr>
                <w:rFonts w:cstheme="minorHAnsi"/>
              </w:rPr>
            </w:pPr>
            <w:r w:rsidRPr="00FE454A">
              <w:rPr>
                <w:rFonts w:cstheme="minorHAnsi"/>
              </w:rPr>
              <w:t>Quantification</w:t>
            </w:r>
          </w:p>
          <w:p w:rsidR="00146DB7" w:rsidRPr="00FE454A" w:rsidRDefault="00146DB7" w:rsidP="00146DB7">
            <w:pPr>
              <w:rPr>
                <w:rFonts w:cstheme="minorHAnsi"/>
              </w:rPr>
            </w:pPr>
            <w:r w:rsidRPr="00FE454A">
              <w:rPr>
                <w:rFonts w:cstheme="minorHAnsi"/>
              </w:rPr>
              <w:t>(par UGB.an)</w:t>
            </w:r>
          </w:p>
        </w:tc>
      </w:tr>
      <w:tr w:rsidR="00146DB7" w:rsidRPr="00FE454A" w:rsidTr="009716CF">
        <w:tc>
          <w:tcPr>
            <w:tcW w:w="1928" w:type="dxa"/>
          </w:tcPr>
          <w:p w:rsidR="00146DB7" w:rsidRPr="00FE454A" w:rsidRDefault="00146DB7" w:rsidP="00146DB7">
            <w:pPr>
              <w:rPr>
                <w:rFonts w:cstheme="minorHAnsi"/>
              </w:rPr>
            </w:pPr>
            <w:proofErr w:type="spellStart"/>
            <w:r w:rsidRPr="00FE454A">
              <w:rPr>
                <w:rFonts w:cstheme="minorHAnsi"/>
              </w:rPr>
              <w:t>Biodiversité</w:t>
            </w:r>
            <w:proofErr w:type="spellEnd"/>
          </w:p>
        </w:tc>
        <w:tc>
          <w:tcPr>
            <w:tcW w:w="561" w:type="dxa"/>
          </w:tcPr>
          <w:p w:rsidR="00146DB7" w:rsidRPr="00FE454A" w:rsidRDefault="00146DB7" w:rsidP="00146DB7">
            <w:pPr>
              <w:rPr>
                <w:rFonts w:cstheme="minorHAnsi"/>
              </w:rPr>
            </w:pPr>
            <w:r w:rsidRPr="00FE454A">
              <w:rPr>
                <w:rFonts w:cstheme="minorHAnsi"/>
              </w:rPr>
              <w:t>Q8</w:t>
            </w:r>
          </w:p>
        </w:tc>
        <w:tc>
          <w:tcPr>
            <w:tcW w:w="5019" w:type="dxa"/>
          </w:tcPr>
          <w:p w:rsidR="00146DB7" w:rsidRPr="00057CAF" w:rsidRDefault="00146DB7" w:rsidP="00146DB7">
            <w:pPr>
              <w:rPr>
                <w:rFonts w:cstheme="minorHAnsi"/>
                <w:lang w:val="fr-FR"/>
              </w:rPr>
            </w:pPr>
            <w:r w:rsidRPr="00057CAF">
              <w:rPr>
                <w:rFonts w:cstheme="minorHAnsi"/>
                <w:lang w:val="fr-FR"/>
              </w:rPr>
              <w:t xml:space="preserve">Effet positif (de la réduction du cheptel ou des causes de cette réduction) par l’extensification des prairies et négatif par la régression de leur surface : bilan positif pour l’échelle de perception régionale, éventuellement négatif à l’échelle locale. </w:t>
            </w:r>
          </w:p>
        </w:tc>
        <w:tc>
          <w:tcPr>
            <w:tcW w:w="1554" w:type="dxa"/>
          </w:tcPr>
          <w:p w:rsidR="00146DB7" w:rsidRPr="00FE454A" w:rsidRDefault="00146DB7" w:rsidP="00146DB7">
            <w:pPr>
              <w:rPr>
                <w:rFonts w:cstheme="minorHAnsi"/>
              </w:rPr>
            </w:pPr>
            <w:r w:rsidRPr="00FE454A">
              <w:rPr>
                <w:rFonts w:cstheme="minorHAnsi"/>
              </w:rPr>
              <w:t>-</w:t>
            </w:r>
          </w:p>
        </w:tc>
      </w:tr>
      <w:tr w:rsidR="00146DB7" w:rsidRPr="00FE454A" w:rsidTr="009716CF">
        <w:tc>
          <w:tcPr>
            <w:tcW w:w="1928" w:type="dxa"/>
          </w:tcPr>
          <w:p w:rsidR="00146DB7" w:rsidRPr="00057CAF" w:rsidRDefault="00146DB7" w:rsidP="00146DB7">
            <w:pPr>
              <w:rPr>
                <w:rFonts w:cstheme="minorHAnsi"/>
                <w:lang w:val="fr-FR"/>
              </w:rPr>
            </w:pPr>
            <w:r w:rsidRPr="00057CAF">
              <w:rPr>
                <w:rFonts w:cstheme="minorHAnsi"/>
                <w:lang w:val="fr-FR"/>
              </w:rPr>
              <w:t>Flux de N vers les eaux</w:t>
            </w:r>
          </w:p>
        </w:tc>
        <w:tc>
          <w:tcPr>
            <w:tcW w:w="561" w:type="dxa"/>
          </w:tcPr>
          <w:p w:rsidR="00146DB7" w:rsidRPr="00FE454A" w:rsidRDefault="00146DB7" w:rsidP="00146DB7">
            <w:pPr>
              <w:rPr>
                <w:rFonts w:cstheme="minorHAnsi"/>
              </w:rPr>
            </w:pPr>
            <w:r w:rsidRPr="00FE454A">
              <w:rPr>
                <w:rFonts w:cstheme="minorHAnsi"/>
              </w:rPr>
              <w:t>Q9</w:t>
            </w:r>
          </w:p>
        </w:tc>
        <w:tc>
          <w:tcPr>
            <w:tcW w:w="5019" w:type="dxa"/>
          </w:tcPr>
          <w:p w:rsidR="00146DB7" w:rsidRPr="00057CAF" w:rsidRDefault="00146DB7" w:rsidP="00EC697E">
            <w:pPr>
              <w:rPr>
                <w:rFonts w:cstheme="minorHAnsi"/>
                <w:lang w:val="fr-FR"/>
              </w:rPr>
            </w:pPr>
            <w:r w:rsidRPr="00057CAF">
              <w:rPr>
                <w:lang w:val="fr-FR"/>
              </w:rPr>
              <w:t xml:space="preserve">106-160 kg </w:t>
            </w:r>
            <w:r w:rsidRPr="00057CAF">
              <w:rPr>
                <w:rFonts w:cstheme="minorHAnsi"/>
                <w:lang w:val="fr-FR"/>
              </w:rPr>
              <w:t>N supplémentaires sont apportés sur les sols par UGB. L’analyse du cycle de l’azote (</w:t>
            </w:r>
            <w:r w:rsidR="00BF3578" w:rsidRPr="00057CAF">
              <w:rPr>
                <w:rFonts w:cstheme="minorHAnsi"/>
                <w:lang w:val="fr-FR"/>
              </w:rPr>
              <w:t>Annexe 5</w:t>
            </w:r>
            <w:r w:rsidRPr="00057CAF">
              <w:rPr>
                <w:rFonts w:cstheme="minorHAnsi"/>
                <w:lang w:val="fr-FR"/>
              </w:rPr>
              <w:t xml:space="preserve">) montre que 8,8% des apports au sol vont dans les eaux (rapport entre la fraction concernée du flux FS1 et la somme FE1+FE2+FE3+FE4+FI2). En appliquant ce pourcentage aux </w:t>
            </w:r>
            <w:r w:rsidRPr="00057CAF">
              <w:rPr>
                <w:lang w:val="fr-FR"/>
              </w:rPr>
              <w:t>106-160 kg</w:t>
            </w:r>
            <w:r w:rsidRPr="00057CAF">
              <w:rPr>
                <w:rFonts w:cstheme="minorHAnsi"/>
                <w:lang w:val="fr-FR"/>
              </w:rPr>
              <w:t xml:space="preserve">, on obtient 9 – 14 kg </w:t>
            </w:r>
            <w:proofErr w:type="spellStart"/>
            <w:r w:rsidRPr="00057CAF">
              <w:rPr>
                <w:rFonts w:cstheme="minorHAnsi"/>
                <w:lang w:val="fr-FR"/>
              </w:rPr>
              <w:t>kg</w:t>
            </w:r>
            <w:proofErr w:type="spellEnd"/>
            <w:r w:rsidRPr="00057CAF">
              <w:rPr>
                <w:rFonts w:cstheme="minorHAnsi"/>
                <w:lang w:val="fr-FR"/>
              </w:rPr>
              <w:t xml:space="preserve">, le chiffre réel pouvant être supérieur vu la relation non linéaire entre entrées et sorties vers l’environnement (accroissement marginal des sorties en fonction des doses, corollaire de la loi des rendements décroissants ; influence de la quantité de bétail sur la proportion d’engrais à croissance rapide). </w:t>
            </w:r>
          </w:p>
        </w:tc>
        <w:tc>
          <w:tcPr>
            <w:tcW w:w="1554" w:type="dxa"/>
          </w:tcPr>
          <w:p w:rsidR="00146DB7" w:rsidRPr="00FE454A" w:rsidRDefault="00146DB7" w:rsidP="00146DB7">
            <w:pPr>
              <w:rPr>
                <w:rFonts w:cstheme="minorHAnsi"/>
              </w:rPr>
            </w:pPr>
            <w:r w:rsidRPr="00FE454A">
              <w:rPr>
                <w:rFonts w:cstheme="minorHAnsi"/>
              </w:rPr>
              <w:t>9 – 14 kg N/UGB</w:t>
            </w:r>
          </w:p>
        </w:tc>
      </w:tr>
      <w:tr w:rsidR="00146DB7" w:rsidRPr="00E9242B" w:rsidTr="009716CF">
        <w:tc>
          <w:tcPr>
            <w:tcW w:w="1928" w:type="dxa"/>
          </w:tcPr>
          <w:p w:rsidR="00146DB7" w:rsidRPr="00057CAF" w:rsidRDefault="00146DB7" w:rsidP="00146DB7">
            <w:pPr>
              <w:rPr>
                <w:rFonts w:cstheme="minorHAnsi"/>
                <w:lang w:val="fr-FR"/>
              </w:rPr>
            </w:pPr>
            <w:r w:rsidRPr="00057CAF">
              <w:rPr>
                <w:rFonts w:cstheme="minorHAnsi"/>
                <w:lang w:val="fr-FR"/>
              </w:rPr>
              <w:t>Flux de P et K vers les eaux</w:t>
            </w:r>
          </w:p>
        </w:tc>
        <w:tc>
          <w:tcPr>
            <w:tcW w:w="561" w:type="dxa"/>
          </w:tcPr>
          <w:p w:rsidR="00146DB7" w:rsidRPr="00FE454A" w:rsidRDefault="00146DB7" w:rsidP="00146DB7">
            <w:pPr>
              <w:rPr>
                <w:rFonts w:cstheme="minorHAnsi"/>
              </w:rPr>
            </w:pPr>
            <w:r w:rsidRPr="00FE454A">
              <w:rPr>
                <w:rFonts w:cstheme="minorHAnsi"/>
              </w:rPr>
              <w:t>Q9</w:t>
            </w:r>
          </w:p>
        </w:tc>
        <w:tc>
          <w:tcPr>
            <w:tcW w:w="5019" w:type="dxa"/>
          </w:tcPr>
          <w:p w:rsidR="00146DB7" w:rsidRPr="00057CAF" w:rsidRDefault="00146DB7" w:rsidP="00146DB7">
            <w:pPr>
              <w:rPr>
                <w:rFonts w:cstheme="minorHAnsi"/>
                <w:lang w:val="fr-FR"/>
              </w:rPr>
            </w:pPr>
            <w:r w:rsidRPr="00057CAF">
              <w:rPr>
                <w:rFonts w:cstheme="minorHAnsi"/>
                <w:lang w:val="fr-FR"/>
              </w:rPr>
              <w:t>Impact parallèle (mais non proportionnel) à celui sur N, lié à l’intensification nécessaire pour produire le fourrage et les aliments.</w:t>
            </w:r>
          </w:p>
        </w:tc>
        <w:tc>
          <w:tcPr>
            <w:tcW w:w="1554" w:type="dxa"/>
          </w:tcPr>
          <w:p w:rsidR="00146DB7" w:rsidRPr="00057CAF" w:rsidRDefault="00146DB7" w:rsidP="00146DB7">
            <w:pPr>
              <w:rPr>
                <w:rFonts w:cstheme="minorHAnsi"/>
                <w:lang w:val="fr-FR"/>
              </w:rPr>
            </w:pPr>
          </w:p>
        </w:tc>
      </w:tr>
      <w:tr w:rsidR="00146DB7" w:rsidRPr="00E9242B" w:rsidTr="009716CF">
        <w:tc>
          <w:tcPr>
            <w:tcW w:w="1928" w:type="dxa"/>
          </w:tcPr>
          <w:p w:rsidR="00146DB7" w:rsidRPr="00FE454A" w:rsidRDefault="00146DB7" w:rsidP="00146DB7">
            <w:pPr>
              <w:rPr>
                <w:rFonts w:cstheme="minorHAnsi"/>
              </w:rPr>
            </w:pPr>
            <w:r w:rsidRPr="00FE454A">
              <w:rPr>
                <w:rFonts w:cstheme="minorHAnsi"/>
              </w:rPr>
              <w:t>Pollution par les pesticides</w:t>
            </w:r>
          </w:p>
        </w:tc>
        <w:tc>
          <w:tcPr>
            <w:tcW w:w="561" w:type="dxa"/>
          </w:tcPr>
          <w:p w:rsidR="00146DB7" w:rsidRPr="00FE454A" w:rsidRDefault="00146DB7" w:rsidP="00146DB7">
            <w:pPr>
              <w:rPr>
                <w:rFonts w:cstheme="minorHAnsi"/>
              </w:rPr>
            </w:pPr>
            <w:r w:rsidRPr="00FE454A">
              <w:rPr>
                <w:rFonts w:cstheme="minorHAnsi"/>
              </w:rPr>
              <w:t>Q9</w:t>
            </w:r>
          </w:p>
        </w:tc>
        <w:tc>
          <w:tcPr>
            <w:tcW w:w="5019" w:type="dxa"/>
          </w:tcPr>
          <w:p w:rsidR="00146DB7" w:rsidRPr="00057CAF" w:rsidRDefault="00146DB7" w:rsidP="00146DB7">
            <w:pPr>
              <w:rPr>
                <w:rFonts w:cstheme="minorHAnsi"/>
                <w:lang w:val="fr-FR"/>
              </w:rPr>
            </w:pPr>
            <w:r w:rsidRPr="00057CAF">
              <w:rPr>
                <w:rFonts w:cstheme="minorHAnsi"/>
                <w:lang w:val="fr-FR"/>
              </w:rPr>
              <w:t>Impact parallèle (mais non proportionnel) à celui sur N, lié à l’intensification nécessaire pour produire le fourrage et les aliments.</w:t>
            </w:r>
          </w:p>
        </w:tc>
        <w:tc>
          <w:tcPr>
            <w:tcW w:w="1554" w:type="dxa"/>
          </w:tcPr>
          <w:p w:rsidR="00146DB7" w:rsidRPr="00057CAF" w:rsidRDefault="00146DB7" w:rsidP="00146DB7">
            <w:pPr>
              <w:rPr>
                <w:rFonts w:cstheme="minorHAnsi"/>
                <w:lang w:val="fr-FR"/>
              </w:rPr>
            </w:pPr>
          </w:p>
        </w:tc>
      </w:tr>
      <w:tr w:rsidR="00146DB7" w:rsidRPr="00E9242B" w:rsidTr="009716CF">
        <w:tc>
          <w:tcPr>
            <w:tcW w:w="1928" w:type="dxa"/>
          </w:tcPr>
          <w:p w:rsidR="00146DB7" w:rsidRPr="00FE454A" w:rsidRDefault="00146DB7" w:rsidP="00146DB7">
            <w:pPr>
              <w:rPr>
                <w:rFonts w:cstheme="minorHAnsi"/>
              </w:rPr>
            </w:pPr>
            <w:r w:rsidRPr="00FE454A">
              <w:rPr>
                <w:rFonts w:cstheme="minorHAnsi"/>
              </w:rPr>
              <w:t>Erosion des sols</w:t>
            </w:r>
          </w:p>
        </w:tc>
        <w:tc>
          <w:tcPr>
            <w:tcW w:w="561" w:type="dxa"/>
          </w:tcPr>
          <w:p w:rsidR="00146DB7" w:rsidRPr="00FE454A" w:rsidRDefault="00146DB7" w:rsidP="00146DB7">
            <w:pPr>
              <w:rPr>
                <w:rFonts w:cstheme="minorHAnsi"/>
              </w:rPr>
            </w:pPr>
            <w:r w:rsidRPr="00FE454A">
              <w:rPr>
                <w:rFonts w:cstheme="minorHAnsi"/>
              </w:rPr>
              <w:t>Q10</w:t>
            </w:r>
          </w:p>
        </w:tc>
        <w:tc>
          <w:tcPr>
            <w:tcW w:w="5019" w:type="dxa"/>
          </w:tcPr>
          <w:p w:rsidR="00146DB7" w:rsidRPr="00057CAF" w:rsidRDefault="00146DB7" w:rsidP="00146DB7">
            <w:pPr>
              <w:rPr>
                <w:rFonts w:cstheme="minorHAnsi"/>
                <w:lang w:val="fr-FR"/>
              </w:rPr>
            </w:pPr>
            <w:r w:rsidRPr="00057CAF">
              <w:rPr>
                <w:rFonts w:cstheme="minorHAnsi"/>
                <w:lang w:val="fr-FR"/>
              </w:rPr>
              <w:t>Impact négatif lié à la raréfaction des prairies</w:t>
            </w:r>
          </w:p>
        </w:tc>
        <w:tc>
          <w:tcPr>
            <w:tcW w:w="1554" w:type="dxa"/>
          </w:tcPr>
          <w:p w:rsidR="00146DB7" w:rsidRPr="00057CAF" w:rsidRDefault="00146DB7" w:rsidP="00146DB7">
            <w:pPr>
              <w:rPr>
                <w:rFonts w:cstheme="minorHAnsi"/>
                <w:lang w:val="fr-FR"/>
              </w:rPr>
            </w:pPr>
          </w:p>
        </w:tc>
      </w:tr>
      <w:tr w:rsidR="00146DB7" w:rsidRPr="00FE454A" w:rsidTr="009716CF">
        <w:tc>
          <w:tcPr>
            <w:tcW w:w="1928" w:type="dxa"/>
          </w:tcPr>
          <w:p w:rsidR="00146DB7" w:rsidRPr="00FE454A" w:rsidRDefault="00146DB7" w:rsidP="00146DB7">
            <w:pPr>
              <w:rPr>
                <w:rFonts w:cstheme="minorHAnsi"/>
              </w:rPr>
            </w:pPr>
            <w:r w:rsidRPr="00FE454A">
              <w:rPr>
                <w:rFonts w:cstheme="minorHAnsi"/>
              </w:rPr>
              <w:t xml:space="preserve">Emission </w:t>
            </w:r>
            <w:proofErr w:type="spellStart"/>
            <w:r w:rsidRPr="00FE454A">
              <w:rPr>
                <w:rFonts w:cstheme="minorHAnsi"/>
              </w:rPr>
              <w:t>d’ammoniac</w:t>
            </w:r>
            <w:proofErr w:type="spellEnd"/>
          </w:p>
        </w:tc>
        <w:tc>
          <w:tcPr>
            <w:tcW w:w="561" w:type="dxa"/>
          </w:tcPr>
          <w:p w:rsidR="00146DB7" w:rsidRPr="00FE454A" w:rsidRDefault="00146DB7" w:rsidP="00146DB7">
            <w:pPr>
              <w:rPr>
                <w:rFonts w:cstheme="minorHAnsi"/>
              </w:rPr>
            </w:pPr>
            <w:r w:rsidRPr="00FE454A">
              <w:rPr>
                <w:rFonts w:cstheme="minorHAnsi"/>
              </w:rPr>
              <w:t>Q14</w:t>
            </w:r>
          </w:p>
        </w:tc>
        <w:tc>
          <w:tcPr>
            <w:tcW w:w="5019" w:type="dxa"/>
          </w:tcPr>
          <w:p w:rsidR="00146DB7" w:rsidRPr="00057CAF" w:rsidRDefault="00146DB7" w:rsidP="00146DB7">
            <w:pPr>
              <w:rPr>
                <w:rFonts w:cstheme="minorHAnsi"/>
                <w:lang w:val="fr-FR"/>
              </w:rPr>
            </w:pPr>
            <w:r w:rsidRPr="00057CAF">
              <w:rPr>
                <w:rFonts w:cstheme="minorHAnsi"/>
                <w:lang w:val="fr-FR"/>
              </w:rPr>
              <w:t xml:space="preserve">Emissions directement associées au bétail : de l’ordre de 9,8 kg/an NH3 (26,7 g/jour) par unité de 500 kg selon </w:t>
            </w:r>
            <w:proofErr w:type="spellStart"/>
            <w:r w:rsidRPr="00057CAF">
              <w:rPr>
                <w:rFonts w:cstheme="minorHAnsi"/>
                <w:lang w:val="fr-FR"/>
              </w:rPr>
              <w:t>Rzeznik</w:t>
            </w:r>
            <w:proofErr w:type="spellEnd"/>
            <w:r w:rsidRPr="00057CAF">
              <w:rPr>
                <w:rFonts w:cstheme="minorHAnsi"/>
                <w:lang w:val="fr-FR"/>
              </w:rPr>
              <w:t xml:space="preserve"> et </w:t>
            </w:r>
            <w:proofErr w:type="spellStart"/>
            <w:r w:rsidRPr="00057CAF">
              <w:rPr>
                <w:rFonts w:cstheme="minorHAnsi"/>
                <w:lang w:val="fr-FR"/>
              </w:rPr>
              <w:t>Mielcarek</w:t>
            </w:r>
            <w:proofErr w:type="spellEnd"/>
            <w:r w:rsidRPr="00057CAF">
              <w:rPr>
                <w:rFonts w:cstheme="minorHAnsi"/>
                <w:lang w:val="fr-FR"/>
              </w:rPr>
              <w:t xml:space="preserve"> (2016) soit 11,8 kg/an par UGB (600 kg). En plus vient un effet indirect lié aux apports d’engrais minéraux </w:t>
            </w:r>
            <w:r w:rsidRPr="00057CAF">
              <w:rPr>
                <w:rFonts w:cstheme="minorHAnsi"/>
                <w:lang w:val="fr-FR"/>
              </w:rPr>
              <w:lastRenderedPageBreak/>
              <w:t>a</w:t>
            </w:r>
            <w:r w:rsidR="00FF1F2B" w:rsidRPr="00057CAF">
              <w:rPr>
                <w:rFonts w:cstheme="minorHAnsi"/>
                <w:lang w:val="fr-FR"/>
              </w:rPr>
              <w:t>m</w:t>
            </w:r>
            <w:r w:rsidRPr="00057CAF">
              <w:rPr>
                <w:rFonts w:cstheme="minorHAnsi"/>
                <w:lang w:val="fr-FR"/>
              </w:rPr>
              <w:t>moniacaux (une fraction des 16,3 kg). Cette estimation ne tient pas compte d’un effet sur l’efficience (réduite dans le cas de l’élevage biologique).</w:t>
            </w:r>
          </w:p>
        </w:tc>
        <w:tc>
          <w:tcPr>
            <w:tcW w:w="1554" w:type="dxa"/>
          </w:tcPr>
          <w:p w:rsidR="00146DB7" w:rsidRPr="00FE454A" w:rsidRDefault="00146DB7" w:rsidP="00146DB7">
            <w:pPr>
              <w:rPr>
                <w:rFonts w:cstheme="minorHAnsi"/>
              </w:rPr>
            </w:pPr>
            <w:r w:rsidRPr="00FE454A">
              <w:rPr>
                <w:rFonts w:cstheme="minorHAnsi"/>
              </w:rPr>
              <w:lastRenderedPageBreak/>
              <w:t>11,8 kg NH</w:t>
            </w:r>
            <w:r w:rsidRPr="00FE454A">
              <w:rPr>
                <w:rFonts w:cstheme="minorHAnsi"/>
                <w:vertAlign w:val="subscript"/>
              </w:rPr>
              <w:t>3</w:t>
            </w:r>
            <w:r w:rsidRPr="00FE454A">
              <w:rPr>
                <w:rFonts w:cstheme="minorHAnsi"/>
              </w:rPr>
              <w:t xml:space="preserve"> </w:t>
            </w:r>
            <w:proofErr w:type="spellStart"/>
            <w:r w:rsidRPr="00FE454A">
              <w:rPr>
                <w:rFonts w:cstheme="minorHAnsi"/>
              </w:rPr>
              <w:t>ou</w:t>
            </w:r>
            <w:proofErr w:type="spellEnd"/>
            <w:r w:rsidRPr="00FE454A">
              <w:rPr>
                <w:rFonts w:cstheme="minorHAnsi"/>
              </w:rPr>
              <w:t xml:space="preserve"> plus</w:t>
            </w:r>
          </w:p>
        </w:tc>
      </w:tr>
      <w:tr w:rsidR="00146DB7" w:rsidRPr="00E9242B" w:rsidTr="009716CF">
        <w:tc>
          <w:tcPr>
            <w:tcW w:w="1928" w:type="dxa"/>
          </w:tcPr>
          <w:p w:rsidR="00146DB7" w:rsidRPr="00FE454A" w:rsidRDefault="00146DB7" w:rsidP="00146DB7">
            <w:pPr>
              <w:rPr>
                <w:rFonts w:cstheme="minorHAnsi"/>
              </w:rPr>
            </w:pPr>
            <w:r w:rsidRPr="00FE454A">
              <w:rPr>
                <w:rFonts w:cstheme="minorHAnsi"/>
              </w:rPr>
              <w:t xml:space="preserve">Emission de </w:t>
            </w:r>
            <w:proofErr w:type="spellStart"/>
            <w:r w:rsidRPr="00FE454A">
              <w:rPr>
                <w:rFonts w:cstheme="minorHAnsi"/>
              </w:rPr>
              <w:t>méthane</w:t>
            </w:r>
            <w:proofErr w:type="spellEnd"/>
          </w:p>
        </w:tc>
        <w:tc>
          <w:tcPr>
            <w:tcW w:w="561" w:type="dxa"/>
          </w:tcPr>
          <w:p w:rsidR="00146DB7" w:rsidRPr="00FE454A" w:rsidRDefault="00146DB7" w:rsidP="00146DB7">
            <w:pPr>
              <w:rPr>
                <w:rFonts w:cstheme="minorHAnsi"/>
              </w:rPr>
            </w:pPr>
            <w:r w:rsidRPr="00FE454A">
              <w:rPr>
                <w:rFonts w:cstheme="minorHAnsi"/>
              </w:rPr>
              <w:t>Q14</w:t>
            </w:r>
          </w:p>
        </w:tc>
        <w:tc>
          <w:tcPr>
            <w:tcW w:w="5019" w:type="dxa"/>
          </w:tcPr>
          <w:p w:rsidR="00146DB7" w:rsidRPr="00057CAF" w:rsidRDefault="00146DB7" w:rsidP="00146DB7">
            <w:pPr>
              <w:rPr>
                <w:rFonts w:cstheme="minorHAnsi"/>
                <w:lang w:val="fr-FR"/>
              </w:rPr>
            </w:pPr>
            <w:r w:rsidRPr="00057CAF">
              <w:rPr>
                <w:rFonts w:cstheme="minorHAnsi"/>
                <w:lang w:val="fr-FR"/>
              </w:rPr>
              <w:t xml:space="preserve">Les émissions liées à la fermentation entérique sont estimées à 143,3 kg CH4/tête.an pour les vaches laitières et 50,5 pour autres bovins (IPCC, 2006 et inventaire belge des GES, in </w:t>
            </w:r>
            <w:proofErr w:type="spellStart"/>
            <w:r w:rsidRPr="00057CAF">
              <w:rPr>
                <w:rFonts w:cstheme="minorHAnsi"/>
                <w:lang w:val="fr-FR"/>
              </w:rPr>
              <w:t>Riera</w:t>
            </w:r>
            <w:proofErr w:type="spellEnd"/>
            <w:r w:rsidRPr="00057CAF">
              <w:rPr>
                <w:rFonts w:cstheme="minorHAnsi"/>
                <w:lang w:val="fr-FR"/>
              </w:rPr>
              <w:t xml:space="preserve"> </w:t>
            </w:r>
            <w:r w:rsidRPr="00057CAF">
              <w:rPr>
                <w:rFonts w:cstheme="minorHAnsi"/>
                <w:i/>
                <w:lang w:val="fr-FR"/>
              </w:rPr>
              <w:t>et al</w:t>
            </w:r>
            <w:r w:rsidRPr="00057CAF">
              <w:rPr>
                <w:rFonts w:cstheme="minorHAnsi"/>
                <w:lang w:val="fr-FR"/>
              </w:rPr>
              <w:t xml:space="preserve">., 2019), mais 90 kg/an pour une vache laitière intensive selon les données de </w:t>
            </w:r>
            <w:proofErr w:type="spellStart"/>
            <w:r w:rsidRPr="00057CAF">
              <w:rPr>
                <w:rFonts w:cstheme="minorHAnsi"/>
                <w:lang w:val="fr-FR"/>
              </w:rPr>
              <w:t>Crutzen</w:t>
            </w:r>
            <w:proofErr w:type="spellEnd"/>
            <w:r w:rsidRPr="00057CAF">
              <w:rPr>
                <w:rFonts w:cstheme="minorHAnsi"/>
                <w:lang w:val="fr-FR"/>
              </w:rPr>
              <w:t xml:space="preserve"> </w:t>
            </w:r>
            <w:r w:rsidRPr="00057CAF">
              <w:rPr>
                <w:rFonts w:cstheme="minorHAnsi"/>
                <w:i/>
                <w:lang w:val="fr-FR"/>
              </w:rPr>
              <w:t>et a</w:t>
            </w:r>
            <w:r w:rsidRPr="00057CAF">
              <w:rPr>
                <w:rFonts w:cstheme="minorHAnsi"/>
                <w:lang w:val="fr-FR"/>
              </w:rPr>
              <w:t xml:space="preserve">l., 1986, rapportées par Sauvant, 1993. Les émissions issues des effluents sont estimées pour leur part à 29,1 pour les vaches laitières et 2,9 pour autres bovins (IPCC, 2006 et inventaire belge des GES, in </w:t>
            </w:r>
            <w:proofErr w:type="spellStart"/>
            <w:r w:rsidRPr="00057CAF">
              <w:rPr>
                <w:rFonts w:cstheme="minorHAnsi"/>
                <w:lang w:val="fr-FR"/>
              </w:rPr>
              <w:t>Riera</w:t>
            </w:r>
            <w:proofErr w:type="spellEnd"/>
            <w:r w:rsidRPr="00057CAF">
              <w:rPr>
                <w:rFonts w:cstheme="minorHAnsi"/>
                <w:lang w:val="fr-FR"/>
              </w:rPr>
              <w:t xml:space="preserve"> </w:t>
            </w:r>
            <w:r w:rsidRPr="00057CAF">
              <w:rPr>
                <w:rFonts w:cstheme="minorHAnsi"/>
                <w:i/>
                <w:lang w:val="fr-FR"/>
              </w:rPr>
              <w:t>et al</w:t>
            </w:r>
            <w:r w:rsidRPr="00057CAF">
              <w:rPr>
                <w:rFonts w:cstheme="minorHAnsi"/>
                <w:lang w:val="fr-FR"/>
              </w:rPr>
              <w:t>., 2019), mais avec des chiffres de l’ordre de 40 kg/UGB (</w:t>
            </w:r>
            <w:proofErr w:type="spellStart"/>
            <w:r w:rsidRPr="00057CAF">
              <w:rPr>
                <w:rFonts w:cstheme="minorHAnsi"/>
                <w:lang w:val="fr-FR"/>
              </w:rPr>
              <w:t>Dollé</w:t>
            </w:r>
            <w:proofErr w:type="spellEnd"/>
            <w:r w:rsidRPr="00057CAF">
              <w:rPr>
                <w:rFonts w:cstheme="minorHAnsi"/>
                <w:lang w:val="fr-FR"/>
              </w:rPr>
              <w:t xml:space="preserve"> et Robin, 2006). </w:t>
            </w:r>
          </w:p>
          <w:p w:rsidR="00146DB7" w:rsidRPr="00057CAF" w:rsidRDefault="00146DB7" w:rsidP="00146DB7">
            <w:pPr>
              <w:rPr>
                <w:rFonts w:cstheme="minorHAnsi"/>
                <w:lang w:val="fr-FR"/>
              </w:rPr>
            </w:pPr>
            <w:r w:rsidRPr="00057CAF">
              <w:rPr>
                <w:rFonts w:cstheme="minorHAnsi"/>
                <w:lang w:val="fr-FR"/>
              </w:rPr>
              <w:t>Le total retenu est 172 kg (vaches laitières) – 54 kg (autres bovins).</w:t>
            </w:r>
          </w:p>
        </w:tc>
        <w:tc>
          <w:tcPr>
            <w:tcW w:w="1554" w:type="dxa"/>
          </w:tcPr>
          <w:p w:rsidR="00146DB7" w:rsidRPr="00057CAF" w:rsidRDefault="00146DB7" w:rsidP="00146DB7">
            <w:pPr>
              <w:rPr>
                <w:rFonts w:cstheme="minorHAnsi"/>
                <w:lang w:val="fr-FR"/>
              </w:rPr>
            </w:pPr>
            <w:r w:rsidRPr="00057CAF">
              <w:rPr>
                <w:rFonts w:cstheme="minorHAnsi"/>
                <w:lang w:val="fr-FR"/>
              </w:rPr>
              <w:t>54</w:t>
            </w:r>
            <w:r w:rsidR="00FF1F2B" w:rsidRPr="00057CAF">
              <w:rPr>
                <w:rFonts w:cstheme="minorHAnsi"/>
                <w:lang w:val="fr-FR"/>
              </w:rPr>
              <w:t xml:space="preserve"> à 172 kg CH</w:t>
            </w:r>
            <w:r w:rsidR="00FF1F2B" w:rsidRPr="00057CAF">
              <w:rPr>
                <w:rFonts w:cstheme="minorHAnsi"/>
                <w:vertAlign w:val="subscript"/>
                <w:lang w:val="fr-FR"/>
              </w:rPr>
              <w:t>4</w:t>
            </w:r>
          </w:p>
          <w:p w:rsidR="00146DB7" w:rsidRPr="00057CAF" w:rsidRDefault="00146DB7" w:rsidP="00146DB7">
            <w:pPr>
              <w:rPr>
                <w:rFonts w:cstheme="minorHAnsi"/>
                <w:lang w:val="fr-FR"/>
              </w:rPr>
            </w:pPr>
          </w:p>
          <w:p w:rsidR="00146DB7" w:rsidRPr="00E9242B" w:rsidRDefault="00146DB7" w:rsidP="00FF1F2B">
            <w:pPr>
              <w:rPr>
                <w:rFonts w:cstheme="minorHAnsi"/>
                <w:lang w:val="fr-BE"/>
              </w:rPr>
            </w:pPr>
            <w:r w:rsidRPr="00057CAF">
              <w:rPr>
                <w:rFonts w:cstheme="minorHAnsi"/>
                <w:lang w:val="fr-FR"/>
              </w:rPr>
              <w:t>1,350</w:t>
            </w:r>
            <w:r w:rsidR="00FF1F2B" w:rsidRPr="00057CAF">
              <w:rPr>
                <w:rFonts w:cstheme="minorHAnsi"/>
                <w:lang w:val="fr-FR"/>
              </w:rPr>
              <w:t xml:space="preserve"> à </w:t>
            </w:r>
            <w:r w:rsidRPr="00057CAF">
              <w:rPr>
                <w:rFonts w:cstheme="minorHAnsi"/>
                <w:lang w:val="fr-FR"/>
              </w:rPr>
              <w:t xml:space="preserve">4,300 T </w:t>
            </w:r>
            <w:proofErr w:type="spellStart"/>
            <w:proofErr w:type="gramStart"/>
            <w:r w:rsidRPr="00057CAF">
              <w:rPr>
                <w:rFonts w:cstheme="minorHAnsi"/>
                <w:lang w:val="fr-FR"/>
              </w:rPr>
              <w:t>équ</w:t>
            </w:r>
            <w:proofErr w:type="spellEnd"/>
            <w:r w:rsidRPr="00057CAF">
              <w:rPr>
                <w:rFonts w:cstheme="minorHAnsi"/>
                <w:lang w:val="fr-FR"/>
              </w:rPr>
              <w:t>.-</w:t>
            </w:r>
            <w:proofErr w:type="gramEnd"/>
            <w:r w:rsidRPr="00057CAF">
              <w:rPr>
                <w:rFonts w:cstheme="minorHAnsi"/>
                <w:lang w:val="fr-FR"/>
              </w:rPr>
              <w:t xml:space="preserve"> </w:t>
            </w:r>
            <w:r w:rsidRPr="00E9242B">
              <w:rPr>
                <w:rFonts w:cstheme="minorHAnsi"/>
                <w:lang w:val="fr-BE"/>
              </w:rPr>
              <w:t>CO</w:t>
            </w:r>
            <w:r w:rsidRPr="00E9242B">
              <w:rPr>
                <w:rFonts w:cstheme="minorHAnsi"/>
                <w:vertAlign w:val="subscript"/>
                <w:lang w:val="fr-BE"/>
              </w:rPr>
              <w:t>2</w:t>
            </w:r>
          </w:p>
        </w:tc>
      </w:tr>
      <w:tr w:rsidR="00146DB7" w:rsidRPr="00FE454A" w:rsidTr="009716CF">
        <w:tc>
          <w:tcPr>
            <w:tcW w:w="1928" w:type="dxa"/>
          </w:tcPr>
          <w:p w:rsidR="00146DB7" w:rsidRPr="00FE454A" w:rsidRDefault="00146DB7" w:rsidP="00146DB7">
            <w:pPr>
              <w:rPr>
                <w:rFonts w:cstheme="minorHAnsi"/>
              </w:rPr>
            </w:pPr>
            <w:r w:rsidRPr="00FE454A">
              <w:rPr>
                <w:rFonts w:cstheme="minorHAnsi"/>
              </w:rPr>
              <w:t xml:space="preserve">Emission de </w:t>
            </w:r>
            <w:proofErr w:type="spellStart"/>
            <w:r w:rsidRPr="00FE454A">
              <w:rPr>
                <w:rFonts w:cstheme="minorHAnsi"/>
              </w:rPr>
              <w:t>protoxyde</w:t>
            </w:r>
            <w:proofErr w:type="spellEnd"/>
            <w:r w:rsidRPr="00FE454A">
              <w:rPr>
                <w:rFonts w:cstheme="minorHAnsi"/>
              </w:rPr>
              <w:t xml:space="preserve"> </w:t>
            </w:r>
            <w:proofErr w:type="spellStart"/>
            <w:r w:rsidRPr="00FE454A">
              <w:rPr>
                <w:rFonts w:cstheme="minorHAnsi"/>
              </w:rPr>
              <w:t>d’azote</w:t>
            </w:r>
            <w:proofErr w:type="spellEnd"/>
          </w:p>
        </w:tc>
        <w:tc>
          <w:tcPr>
            <w:tcW w:w="561" w:type="dxa"/>
          </w:tcPr>
          <w:p w:rsidR="00146DB7" w:rsidRPr="00FE454A" w:rsidRDefault="00146DB7" w:rsidP="00146DB7">
            <w:pPr>
              <w:rPr>
                <w:rFonts w:cstheme="minorHAnsi"/>
              </w:rPr>
            </w:pPr>
            <w:r w:rsidRPr="00FE454A">
              <w:rPr>
                <w:rFonts w:cstheme="minorHAnsi"/>
              </w:rPr>
              <w:t>Q14</w:t>
            </w:r>
          </w:p>
        </w:tc>
        <w:tc>
          <w:tcPr>
            <w:tcW w:w="5019" w:type="dxa"/>
          </w:tcPr>
          <w:p w:rsidR="00146DB7" w:rsidRPr="00057CAF" w:rsidRDefault="00146DB7" w:rsidP="00146DB7">
            <w:pPr>
              <w:rPr>
                <w:rFonts w:cstheme="minorHAnsi"/>
                <w:lang w:val="fr-FR"/>
              </w:rPr>
            </w:pPr>
            <w:r w:rsidRPr="00057CAF">
              <w:rPr>
                <w:rFonts w:cstheme="minorHAnsi"/>
                <w:lang w:val="fr-FR"/>
              </w:rPr>
              <w:t>L’impact peut être grossièrement estimé en appliquant le coefficient d’émission standard de 1,25% aux 71-91 kg N supplémentaire pénétrant le système, ce qui donne 0,9 – 1,1 kg N-N</w:t>
            </w:r>
            <w:r w:rsidRPr="00057CAF">
              <w:rPr>
                <w:rFonts w:cstheme="minorHAnsi"/>
                <w:vertAlign w:val="subscript"/>
                <w:lang w:val="fr-FR"/>
              </w:rPr>
              <w:t>2</w:t>
            </w:r>
            <w:r w:rsidRPr="00057CAF">
              <w:rPr>
                <w:rFonts w:cstheme="minorHAnsi"/>
                <w:lang w:val="fr-FR"/>
              </w:rPr>
              <w:t>O soit 270-330 kg équ-CO</w:t>
            </w:r>
            <w:r w:rsidRPr="00057CAF">
              <w:rPr>
                <w:rFonts w:cstheme="minorHAnsi"/>
                <w:vertAlign w:val="subscript"/>
                <w:lang w:val="fr-FR"/>
              </w:rPr>
              <w:t>2</w:t>
            </w:r>
            <w:r w:rsidRPr="00057CAF">
              <w:rPr>
                <w:rFonts w:cstheme="minorHAnsi"/>
                <w:lang w:val="fr-FR"/>
              </w:rPr>
              <w:t xml:space="preserve">. De plus si l’on admet une relation causale du changement de cheptel vers un changement dans </w:t>
            </w:r>
            <w:r w:rsidRPr="00057CAF">
              <w:rPr>
                <w:rFonts w:cstheme="minorHAnsi"/>
                <w:lang w:val="fr-FR" w:eastAsia="pl-PL"/>
              </w:rPr>
              <w:t>les prairies pâturées, un effet supplémentaire vient de ce que celles-ci ont un coefficient d’émission relativement élevé (</w:t>
            </w:r>
            <w:proofErr w:type="spellStart"/>
            <w:r w:rsidRPr="00057CAF">
              <w:rPr>
                <w:rFonts w:cstheme="minorHAnsi"/>
                <w:lang w:val="fr-FR" w:eastAsia="pl-PL"/>
              </w:rPr>
              <w:t>Skiba</w:t>
            </w:r>
            <w:proofErr w:type="spellEnd"/>
            <w:r w:rsidRPr="00057CAF">
              <w:rPr>
                <w:rFonts w:cstheme="minorHAnsi"/>
                <w:lang w:val="fr-FR" w:eastAsia="pl-PL"/>
              </w:rPr>
              <w:t xml:space="preserve"> </w:t>
            </w:r>
            <w:r w:rsidRPr="00057CAF">
              <w:rPr>
                <w:rFonts w:cstheme="minorHAnsi"/>
                <w:i/>
                <w:lang w:val="fr-FR" w:eastAsia="pl-PL"/>
              </w:rPr>
              <w:t xml:space="preserve">et al., </w:t>
            </w:r>
            <w:r w:rsidRPr="00057CAF">
              <w:rPr>
                <w:rFonts w:cstheme="minorHAnsi"/>
                <w:lang w:val="fr-FR" w:eastAsia="pl-PL"/>
              </w:rPr>
              <w:t xml:space="preserve">1996 et Fowler </w:t>
            </w:r>
            <w:r w:rsidRPr="00057CAF">
              <w:rPr>
                <w:rFonts w:cstheme="minorHAnsi"/>
                <w:i/>
                <w:lang w:val="fr-FR" w:eastAsia="pl-PL"/>
              </w:rPr>
              <w:t>et al.</w:t>
            </w:r>
            <w:r w:rsidRPr="00057CAF">
              <w:rPr>
                <w:rFonts w:cstheme="minorHAnsi"/>
                <w:lang w:val="fr-FR" w:eastAsia="pl-PL"/>
              </w:rPr>
              <w:t xml:space="preserve">, 1996 in </w:t>
            </w:r>
            <w:r w:rsidRPr="00057CAF">
              <w:rPr>
                <w:rFonts w:cstheme="minorHAnsi"/>
                <w:lang w:val="fr-FR"/>
              </w:rPr>
              <w:t>Cellier et Gabrielle : 2,1% pour la prairie pâturée, contre 1,6% pour la pomme de terre, et 0,5% pour les céréales d’hiver</w:t>
            </w:r>
            <w:r w:rsidRPr="00057CAF">
              <w:rPr>
                <w:rFonts w:cstheme="minorHAnsi"/>
                <w:lang w:val="fr-FR" w:eastAsia="pl-PL"/>
              </w:rPr>
              <w:t xml:space="preserve">). </w:t>
            </w:r>
          </w:p>
        </w:tc>
        <w:tc>
          <w:tcPr>
            <w:tcW w:w="1554" w:type="dxa"/>
          </w:tcPr>
          <w:p w:rsidR="00146DB7" w:rsidRPr="00FE454A" w:rsidRDefault="00146DB7" w:rsidP="00146DB7">
            <w:pPr>
              <w:rPr>
                <w:rFonts w:cstheme="minorHAnsi"/>
              </w:rPr>
            </w:pPr>
            <w:r w:rsidRPr="00FE454A">
              <w:rPr>
                <w:rFonts w:cstheme="minorHAnsi"/>
              </w:rPr>
              <w:t>270-330</w:t>
            </w:r>
          </w:p>
          <w:p w:rsidR="00146DB7" w:rsidRPr="00FE454A" w:rsidRDefault="00146DB7" w:rsidP="00146DB7">
            <w:pPr>
              <w:rPr>
                <w:rFonts w:cstheme="minorHAnsi"/>
              </w:rPr>
            </w:pPr>
            <w:r w:rsidRPr="00FE454A">
              <w:rPr>
                <w:rFonts w:cstheme="minorHAnsi"/>
              </w:rPr>
              <w:t>kg équ-CO</w:t>
            </w:r>
            <w:r w:rsidRPr="00FE454A">
              <w:rPr>
                <w:rFonts w:cstheme="minorHAnsi"/>
                <w:vertAlign w:val="subscript"/>
              </w:rPr>
              <w:t>2</w:t>
            </w:r>
          </w:p>
        </w:tc>
      </w:tr>
    </w:tbl>
    <w:p w:rsidR="00526EEC" w:rsidRPr="00057CAF" w:rsidRDefault="00FE454A" w:rsidP="00FE454A">
      <w:pPr>
        <w:pStyle w:val="Titre2"/>
        <w:rPr>
          <w:lang w:val="fr-FR"/>
        </w:rPr>
      </w:pPr>
      <w:bookmarkStart w:id="126" w:name="_Toc11278980"/>
      <w:bookmarkStart w:id="127" w:name="_Toc11333825"/>
      <w:bookmarkStart w:id="128" w:name="_Toc25688797"/>
      <w:bookmarkStart w:id="129" w:name="_Toc1055159"/>
      <w:r w:rsidRPr="00057CAF">
        <w:rPr>
          <w:lang w:val="fr-FR"/>
        </w:rPr>
        <w:t>5</w:t>
      </w:r>
      <w:r w:rsidR="00526EEC" w:rsidRPr="00057CAF">
        <w:rPr>
          <w:lang w:val="fr-FR"/>
        </w:rPr>
        <w:t xml:space="preserve">. </w:t>
      </w:r>
      <w:r w:rsidR="007071BD" w:rsidRPr="00057CAF">
        <w:rPr>
          <w:lang w:val="fr-FR"/>
        </w:rPr>
        <w:t>Ordre de grandeur possible de l’impact combiné de MB9 et M11</w:t>
      </w:r>
      <w:bookmarkEnd w:id="126"/>
      <w:bookmarkEnd w:id="127"/>
      <w:bookmarkEnd w:id="128"/>
      <w:r w:rsidR="007071BD" w:rsidRPr="00057CAF">
        <w:rPr>
          <w:lang w:val="fr-FR"/>
        </w:rPr>
        <w:t xml:space="preserve"> </w:t>
      </w:r>
      <w:bookmarkEnd w:id="129"/>
    </w:p>
    <w:p w:rsidR="00526EEC" w:rsidRPr="00526EEC" w:rsidRDefault="00526EEC" w:rsidP="00526EEC">
      <w:pPr>
        <w:spacing w:after="160"/>
        <w:rPr>
          <w:rFonts w:eastAsiaTheme="minorHAnsi" w:cstheme="minorBidi"/>
          <w:szCs w:val="22"/>
        </w:rPr>
      </w:pPr>
      <w:r w:rsidRPr="00057CAF">
        <w:rPr>
          <w:rFonts w:eastAsiaTheme="minorHAnsi" w:cstheme="minorBidi"/>
          <w:szCs w:val="22"/>
          <w:lang w:val="fr-FR"/>
        </w:rPr>
        <w:t xml:space="preserve">Dans le cas de figure présenté plus haut, </w:t>
      </w:r>
      <w:r w:rsidR="007071BD" w:rsidRPr="00057CAF">
        <w:rPr>
          <w:rFonts w:eastAsiaTheme="minorHAnsi" w:cstheme="minorBidi"/>
          <w:szCs w:val="22"/>
          <w:lang w:val="fr-FR"/>
        </w:rPr>
        <w:t xml:space="preserve">une hypothèse serait que </w:t>
      </w:r>
      <w:r w:rsidRPr="00057CAF">
        <w:rPr>
          <w:rFonts w:eastAsiaTheme="minorHAnsi" w:cstheme="minorBidi"/>
          <w:szCs w:val="22"/>
          <w:lang w:val="fr-FR"/>
        </w:rPr>
        <w:t>le</w:t>
      </w:r>
      <w:r w:rsidR="007071BD" w:rsidRPr="00057CAF">
        <w:rPr>
          <w:rFonts w:eastAsiaTheme="minorHAnsi" w:cstheme="minorBidi"/>
          <w:szCs w:val="22"/>
          <w:lang w:val="fr-FR"/>
        </w:rPr>
        <w:t>s mesures du</w:t>
      </w:r>
      <w:r w:rsidRPr="00057CAF">
        <w:rPr>
          <w:rFonts w:eastAsiaTheme="minorHAnsi" w:cstheme="minorBidi"/>
          <w:szCs w:val="22"/>
          <w:lang w:val="fr-FR"/>
        </w:rPr>
        <w:t xml:space="preserve"> PDR</w:t>
      </w:r>
      <w:r w:rsidR="007071BD" w:rsidRPr="00057CAF">
        <w:rPr>
          <w:rFonts w:eastAsiaTheme="minorHAnsi" w:cstheme="minorBidi"/>
          <w:szCs w:val="22"/>
          <w:lang w:val="fr-FR"/>
        </w:rPr>
        <w:t xml:space="preserve"> limitant la charge </w:t>
      </w:r>
      <w:proofErr w:type="gramStart"/>
      <w:r w:rsidRPr="00057CAF">
        <w:rPr>
          <w:rFonts w:eastAsiaTheme="minorHAnsi" w:cstheme="minorBidi"/>
          <w:szCs w:val="22"/>
          <w:lang w:val="fr-FR"/>
        </w:rPr>
        <w:t>rédui</w:t>
      </w:r>
      <w:r w:rsidR="007071BD" w:rsidRPr="00057CAF">
        <w:rPr>
          <w:rFonts w:eastAsiaTheme="minorHAnsi" w:cstheme="minorBidi"/>
          <w:szCs w:val="22"/>
          <w:lang w:val="fr-FR"/>
        </w:rPr>
        <w:t>sent</w:t>
      </w:r>
      <w:proofErr w:type="gramEnd"/>
      <w:r w:rsidRPr="00057CAF">
        <w:rPr>
          <w:rFonts w:eastAsiaTheme="minorHAnsi" w:cstheme="minorBidi"/>
          <w:szCs w:val="22"/>
          <w:lang w:val="fr-FR"/>
        </w:rPr>
        <w:t xml:space="preserve"> le cheptel de quelque </w:t>
      </w:r>
      <w:r w:rsidR="007071BD" w:rsidRPr="00057CAF">
        <w:rPr>
          <w:rFonts w:eastAsiaTheme="minorHAnsi" w:cstheme="minorBidi"/>
          <w:szCs w:val="22"/>
          <w:lang w:val="fr-FR"/>
        </w:rPr>
        <w:t>60</w:t>
      </w:r>
      <w:r w:rsidRPr="00057CAF">
        <w:rPr>
          <w:rFonts w:eastAsiaTheme="minorHAnsi" w:cstheme="minorBidi"/>
          <w:szCs w:val="22"/>
          <w:lang w:val="fr-FR"/>
        </w:rPr>
        <w:t xml:space="preserve"> 000 UGB. </w:t>
      </w:r>
      <w:r w:rsidRPr="00526EEC">
        <w:rPr>
          <w:rFonts w:eastAsiaTheme="minorHAnsi" w:cstheme="minorBidi"/>
          <w:szCs w:val="22"/>
        </w:rPr>
        <w:t xml:space="preserve">Sur </w:t>
      </w:r>
      <w:proofErr w:type="spellStart"/>
      <w:r w:rsidRPr="00526EEC">
        <w:rPr>
          <w:rFonts w:eastAsiaTheme="minorHAnsi" w:cstheme="minorBidi"/>
          <w:szCs w:val="22"/>
        </w:rPr>
        <w:t>cette</w:t>
      </w:r>
      <w:proofErr w:type="spellEnd"/>
      <w:r w:rsidRPr="00526EEC">
        <w:rPr>
          <w:rFonts w:eastAsiaTheme="minorHAnsi" w:cstheme="minorBidi"/>
          <w:szCs w:val="22"/>
        </w:rPr>
        <w:t xml:space="preserve"> base, on </w:t>
      </w:r>
      <w:proofErr w:type="spellStart"/>
      <w:r w:rsidRPr="00526EEC">
        <w:rPr>
          <w:rFonts w:eastAsiaTheme="minorHAnsi" w:cstheme="minorBidi"/>
          <w:szCs w:val="22"/>
        </w:rPr>
        <w:t>peut</w:t>
      </w:r>
      <w:proofErr w:type="spellEnd"/>
      <w:r w:rsidRPr="00526EEC">
        <w:rPr>
          <w:rFonts w:eastAsiaTheme="minorHAnsi" w:cstheme="minorBidi"/>
          <w:szCs w:val="22"/>
        </w:rPr>
        <w:t xml:space="preserve"> </w:t>
      </w:r>
      <w:proofErr w:type="spellStart"/>
      <w:r w:rsidRPr="00526EEC">
        <w:rPr>
          <w:rFonts w:eastAsiaTheme="minorHAnsi" w:cstheme="minorBidi"/>
          <w:szCs w:val="22"/>
        </w:rPr>
        <w:t>estimer</w:t>
      </w:r>
      <w:proofErr w:type="spellEnd"/>
      <w:r w:rsidRPr="00526EEC">
        <w:rPr>
          <w:rFonts w:eastAsiaTheme="minorHAnsi" w:cstheme="minorBidi"/>
          <w:szCs w:val="22"/>
        </w:rPr>
        <w:t xml:space="preserve"> les </w:t>
      </w:r>
      <w:proofErr w:type="spellStart"/>
      <w:r w:rsidRPr="00526EEC">
        <w:rPr>
          <w:rFonts w:eastAsiaTheme="minorHAnsi" w:cstheme="minorBidi"/>
          <w:szCs w:val="22"/>
        </w:rPr>
        <w:t>effets</w:t>
      </w:r>
      <w:proofErr w:type="spellEnd"/>
      <w:r w:rsidRPr="00526EEC">
        <w:rPr>
          <w:rFonts w:eastAsiaTheme="minorHAnsi" w:cstheme="minorBidi"/>
          <w:szCs w:val="22"/>
        </w:rPr>
        <w:t xml:space="preserve"> </w:t>
      </w:r>
      <w:proofErr w:type="spellStart"/>
      <w:r w:rsidRPr="00526EEC">
        <w:rPr>
          <w:rFonts w:eastAsiaTheme="minorHAnsi" w:cstheme="minorBidi"/>
          <w:szCs w:val="22"/>
        </w:rPr>
        <w:t>suivants</w:t>
      </w:r>
      <w:proofErr w:type="spellEnd"/>
    </w:p>
    <w:tbl>
      <w:tblPr>
        <w:tblStyle w:val="Grilledutableau14"/>
        <w:tblW w:w="9209" w:type="dxa"/>
        <w:tblLook w:val="04A0" w:firstRow="1" w:lastRow="0" w:firstColumn="1" w:lastColumn="0" w:noHBand="0" w:noVBand="1"/>
      </w:tblPr>
      <w:tblGrid>
        <w:gridCol w:w="2122"/>
        <w:gridCol w:w="1275"/>
        <w:gridCol w:w="1985"/>
        <w:gridCol w:w="1984"/>
        <w:gridCol w:w="1843"/>
      </w:tblGrid>
      <w:tr w:rsidR="00EC697E" w:rsidRPr="00E9242B" w:rsidTr="00FE454A">
        <w:tc>
          <w:tcPr>
            <w:tcW w:w="2122" w:type="dxa"/>
            <w:shd w:val="clear" w:color="auto" w:fill="A50021"/>
          </w:tcPr>
          <w:p w:rsidR="00EC697E" w:rsidRPr="00526EEC" w:rsidRDefault="00EC697E" w:rsidP="00EC697E">
            <w:pPr>
              <w:jc w:val="center"/>
            </w:pPr>
            <w:r>
              <w:t>Flux</w:t>
            </w:r>
          </w:p>
        </w:tc>
        <w:tc>
          <w:tcPr>
            <w:tcW w:w="1275" w:type="dxa"/>
            <w:shd w:val="clear" w:color="auto" w:fill="A50021"/>
          </w:tcPr>
          <w:p w:rsidR="00EC697E" w:rsidRPr="00526EEC" w:rsidRDefault="00EC697E" w:rsidP="00EC697E">
            <w:pPr>
              <w:jc w:val="center"/>
            </w:pPr>
            <w:r w:rsidRPr="001C0A5C">
              <w:t>Question</w:t>
            </w:r>
          </w:p>
        </w:tc>
        <w:tc>
          <w:tcPr>
            <w:tcW w:w="1985" w:type="dxa"/>
            <w:shd w:val="clear" w:color="auto" w:fill="A50021"/>
          </w:tcPr>
          <w:p w:rsidR="00EC697E" w:rsidRPr="00526EEC" w:rsidRDefault="00EC697E" w:rsidP="00EC697E">
            <w:pPr>
              <w:jc w:val="center"/>
            </w:pPr>
            <w:r w:rsidRPr="00526EEC">
              <w:t>Par UGB</w:t>
            </w:r>
          </w:p>
        </w:tc>
        <w:tc>
          <w:tcPr>
            <w:tcW w:w="1984" w:type="dxa"/>
            <w:shd w:val="clear" w:color="auto" w:fill="A50021"/>
          </w:tcPr>
          <w:p w:rsidR="00EC697E" w:rsidRPr="00526EEC" w:rsidRDefault="00EC697E" w:rsidP="00EC697E">
            <w:pPr>
              <w:jc w:val="center"/>
            </w:pPr>
            <w:proofErr w:type="spellStart"/>
            <w:r>
              <w:t>Effet</w:t>
            </w:r>
            <w:proofErr w:type="spellEnd"/>
            <w:r>
              <w:t xml:space="preserve"> a</w:t>
            </w:r>
            <w:r w:rsidRPr="00526EEC">
              <w:t xml:space="preserve">vec </w:t>
            </w:r>
            <w:r>
              <w:t xml:space="preserve">60000 </w:t>
            </w:r>
            <w:r w:rsidRPr="00526EEC">
              <w:t>UGB</w:t>
            </w:r>
          </w:p>
        </w:tc>
        <w:tc>
          <w:tcPr>
            <w:tcW w:w="1843" w:type="dxa"/>
            <w:shd w:val="clear" w:color="auto" w:fill="A50021"/>
          </w:tcPr>
          <w:p w:rsidR="00EC697E" w:rsidRPr="00057CAF" w:rsidRDefault="00EC697E" w:rsidP="00EC697E">
            <w:pPr>
              <w:jc w:val="center"/>
              <w:rPr>
                <w:lang w:val="fr-FR"/>
              </w:rPr>
            </w:pPr>
            <w:r w:rsidRPr="00057CAF">
              <w:rPr>
                <w:lang w:val="fr-FR"/>
              </w:rPr>
              <w:t>Idem en % du flux total</w:t>
            </w:r>
            <w:r w:rsidR="00B84CA0">
              <w:rPr>
                <w:rStyle w:val="Appelnotedebasdep"/>
              </w:rPr>
              <w:footnoteReference w:id="8"/>
            </w:r>
          </w:p>
        </w:tc>
      </w:tr>
      <w:tr w:rsidR="00EC697E" w:rsidRPr="00526EEC" w:rsidTr="00EC697E">
        <w:tc>
          <w:tcPr>
            <w:tcW w:w="2122" w:type="dxa"/>
            <w:vAlign w:val="center"/>
          </w:tcPr>
          <w:p w:rsidR="00EC697E" w:rsidRPr="00057CAF" w:rsidRDefault="00EC697E" w:rsidP="00EC697E">
            <w:pPr>
              <w:rPr>
                <w:lang w:val="fr-FR"/>
              </w:rPr>
            </w:pPr>
            <w:r w:rsidRPr="00057CAF">
              <w:rPr>
                <w:lang w:val="fr-FR"/>
              </w:rPr>
              <w:t>Flux de N vers les eaux</w:t>
            </w:r>
          </w:p>
        </w:tc>
        <w:tc>
          <w:tcPr>
            <w:tcW w:w="1275" w:type="dxa"/>
          </w:tcPr>
          <w:p w:rsidR="00EC697E" w:rsidRPr="00526EEC" w:rsidRDefault="00EC697E" w:rsidP="00EC697E">
            <w:r w:rsidRPr="001C0A5C">
              <w:t>Q9</w:t>
            </w:r>
          </w:p>
        </w:tc>
        <w:tc>
          <w:tcPr>
            <w:tcW w:w="1985" w:type="dxa"/>
            <w:vAlign w:val="center"/>
          </w:tcPr>
          <w:p w:rsidR="00EC697E" w:rsidRPr="00526EEC" w:rsidRDefault="00EC697E" w:rsidP="00EC697E">
            <w:r w:rsidRPr="00526EEC">
              <w:t>9-14 Kg</w:t>
            </w:r>
          </w:p>
        </w:tc>
        <w:tc>
          <w:tcPr>
            <w:tcW w:w="1984" w:type="dxa"/>
            <w:tcBorders>
              <w:bottom w:val="single" w:sz="4" w:space="0" w:color="auto"/>
            </w:tcBorders>
            <w:vAlign w:val="center"/>
          </w:tcPr>
          <w:p w:rsidR="00EC697E" w:rsidRPr="00526EEC" w:rsidRDefault="00EC697E" w:rsidP="00EC697E">
            <w:r w:rsidRPr="00526EEC">
              <w:t>0,</w:t>
            </w:r>
            <w:r>
              <w:t>5</w:t>
            </w:r>
            <w:r w:rsidRPr="00526EEC">
              <w:t>-0,</w:t>
            </w:r>
            <w:r>
              <w:t xml:space="preserve">8 </w:t>
            </w:r>
            <w:proofErr w:type="spellStart"/>
            <w:r>
              <w:t>kT</w:t>
            </w:r>
            <w:proofErr w:type="spellEnd"/>
            <w:r>
              <w:t xml:space="preserve"> N</w:t>
            </w:r>
          </w:p>
        </w:tc>
        <w:tc>
          <w:tcPr>
            <w:tcW w:w="1843" w:type="dxa"/>
            <w:vAlign w:val="center"/>
          </w:tcPr>
          <w:p w:rsidR="00EC697E" w:rsidRPr="00526EEC" w:rsidRDefault="00FF7099" w:rsidP="00EC697E">
            <w:r>
              <w:t>4-6%</w:t>
            </w:r>
          </w:p>
        </w:tc>
      </w:tr>
      <w:tr w:rsidR="00EC697E" w:rsidRPr="00526EEC" w:rsidTr="00FF7099">
        <w:tc>
          <w:tcPr>
            <w:tcW w:w="2122" w:type="dxa"/>
            <w:vAlign w:val="center"/>
          </w:tcPr>
          <w:p w:rsidR="00EC697E" w:rsidRPr="00526EEC" w:rsidRDefault="00EC697E" w:rsidP="00EC697E">
            <w:r w:rsidRPr="00526EEC">
              <w:t xml:space="preserve">Emission </w:t>
            </w:r>
            <w:proofErr w:type="spellStart"/>
            <w:r w:rsidRPr="00526EEC">
              <w:t>d’ammoniac</w:t>
            </w:r>
            <w:proofErr w:type="spellEnd"/>
          </w:p>
        </w:tc>
        <w:tc>
          <w:tcPr>
            <w:tcW w:w="1275" w:type="dxa"/>
          </w:tcPr>
          <w:p w:rsidR="00EC697E" w:rsidRPr="00526EEC" w:rsidRDefault="00EC697E" w:rsidP="00EC697E">
            <w:r w:rsidRPr="001C0A5C">
              <w:t>Q14</w:t>
            </w:r>
          </w:p>
        </w:tc>
        <w:tc>
          <w:tcPr>
            <w:tcW w:w="1985" w:type="dxa"/>
            <w:vAlign w:val="center"/>
          </w:tcPr>
          <w:p w:rsidR="00EC697E" w:rsidRPr="00526EEC" w:rsidRDefault="00EC697E" w:rsidP="00EC697E">
            <w:r w:rsidRPr="00526EEC">
              <w:t>11,8 Kg</w:t>
            </w:r>
          </w:p>
        </w:tc>
        <w:tc>
          <w:tcPr>
            <w:tcW w:w="1984" w:type="dxa"/>
            <w:tcBorders>
              <w:top w:val="single" w:sz="4" w:space="0" w:color="auto"/>
              <w:left w:val="nil"/>
              <w:bottom w:val="single" w:sz="4" w:space="0" w:color="auto"/>
              <w:right w:val="single" w:sz="8" w:space="0" w:color="auto"/>
            </w:tcBorders>
            <w:shd w:val="clear" w:color="auto" w:fill="auto"/>
            <w:vAlign w:val="center"/>
          </w:tcPr>
          <w:p w:rsidR="00EC697E" w:rsidRPr="00526EEC" w:rsidRDefault="00EC697E" w:rsidP="00EC697E">
            <w:r w:rsidRPr="00526EEC">
              <w:t>0,</w:t>
            </w:r>
            <w:r>
              <w:t xml:space="preserve">71 </w:t>
            </w:r>
            <w:proofErr w:type="spellStart"/>
            <w:r w:rsidRPr="00526EEC">
              <w:t>kT</w:t>
            </w:r>
            <w:proofErr w:type="spellEnd"/>
            <w:r w:rsidRPr="00526EEC">
              <w:t xml:space="preserve"> NH3</w:t>
            </w:r>
          </w:p>
        </w:tc>
        <w:tc>
          <w:tcPr>
            <w:tcW w:w="1843" w:type="dxa"/>
            <w:tcBorders>
              <w:bottom w:val="single" w:sz="4" w:space="0" w:color="auto"/>
            </w:tcBorders>
            <w:vAlign w:val="center"/>
          </w:tcPr>
          <w:p w:rsidR="00EC697E" w:rsidRPr="00526EEC" w:rsidRDefault="00FF7099" w:rsidP="00EC697E">
            <w:r>
              <w:t>3,6%</w:t>
            </w:r>
          </w:p>
        </w:tc>
      </w:tr>
      <w:tr w:rsidR="00EC697E" w:rsidRPr="00526EEC" w:rsidTr="00FF7099">
        <w:tc>
          <w:tcPr>
            <w:tcW w:w="2122" w:type="dxa"/>
            <w:vAlign w:val="center"/>
          </w:tcPr>
          <w:p w:rsidR="00EC697E" w:rsidRPr="00526EEC" w:rsidRDefault="00EC697E" w:rsidP="00EC697E">
            <w:r w:rsidRPr="00526EEC">
              <w:t xml:space="preserve">Emission de </w:t>
            </w:r>
            <w:proofErr w:type="spellStart"/>
            <w:r w:rsidRPr="00526EEC">
              <w:t>méthane</w:t>
            </w:r>
            <w:proofErr w:type="spellEnd"/>
          </w:p>
        </w:tc>
        <w:tc>
          <w:tcPr>
            <w:tcW w:w="1275" w:type="dxa"/>
          </w:tcPr>
          <w:p w:rsidR="00EC697E" w:rsidRPr="00526EEC" w:rsidRDefault="00EC697E" w:rsidP="00EC697E">
            <w:pPr>
              <w:rPr>
                <w:rFonts w:cstheme="minorHAnsi"/>
              </w:rPr>
            </w:pPr>
            <w:r w:rsidRPr="001C0A5C">
              <w:t>Q14</w:t>
            </w:r>
          </w:p>
        </w:tc>
        <w:tc>
          <w:tcPr>
            <w:tcW w:w="1985" w:type="dxa"/>
            <w:vAlign w:val="center"/>
          </w:tcPr>
          <w:p w:rsidR="00EC697E" w:rsidRPr="00526EEC" w:rsidRDefault="00EC697E" w:rsidP="00EC697E">
            <w:r w:rsidRPr="00526EEC">
              <w:rPr>
                <w:rFonts w:cstheme="minorHAnsi"/>
              </w:rPr>
              <w:t xml:space="preserve">1,35-4,3 T </w:t>
            </w:r>
            <w:proofErr w:type="spellStart"/>
            <w:proofErr w:type="gramStart"/>
            <w:r w:rsidRPr="00526EEC">
              <w:rPr>
                <w:rFonts w:cstheme="minorHAnsi"/>
              </w:rPr>
              <w:t>équ</w:t>
            </w:r>
            <w:proofErr w:type="spellEnd"/>
            <w:r w:rsidRPr="00526EEC">
              <w:rPr>
                <w:rFonts w:cstheme="minorHAnsi"/>
              </w:rPr>
              <w:t>.-</w:t>
            </w:r>
            <w:proofErr w:type="gramEnd"/>
            <w:r w:rsidRPr="00526EEC">
              <w:rPr>
                <w:rFonts w:cstheme="minorHAnsi"/>
              </w:rPr>
              <w:t xml:space="preserve"> CO</w:t>
            </w:r>
            <w:r w:rsidRPr="00526EEC">
              <w:rPr>
                <w:rFonts w:cstheme="minorHAnsi"/>
                <w:vertAlign w:val="subscript"/>
              </w:rPr>
              <w:t>2</w:t>
            </w:r>
          </w:p>
        </w:tc>
        <w:tc>
          <w:tcPr>
            <w:tcW w:w="1984" w:type="dxa"/>
            <w:tcBorders>
              <w:top w:val="single" w:sz="4" w:space="0" w:color="auto"/>
              <w:left w:val="nil"/>
              <w:bottom w:val="single" w:sz="8" w:space="0" w:color="auto"/>
              <w:right w:val="single" w:sz="8" w:space="0" w:color="auto"/>
            </w:tcBorders>
            <w:shd w:val="clear" w:color="auto" w:fill="auto"/>
            <w:vAlign w:val="center"/>
          </w:tcPr>
          <w:p w:rsidR="00EC697E" w:rsidRPr="00526EEC" w:rsidRDefault="00EC697E" w:rsidP="00EC697E">
            <w:r>
              <w:t>81</w:t>
            </w:r>
            <w:r w:rsidRPr="00526EEC">
              <w:t>-</w:t>
            </w:r>
            <w:r>
              <w:t xml:space="preserve">258 </w:t>
            </w:r>
            <w:proofErr w:type="spellStart"/>
            <w:r w:rsidRPr="00526EEC">
              <w:t>kT</w:t>
            </w:r>
            <w:proofErr w:type="spellEnd"/>
            <w:r w:rsidRPr="00526EEC">
              <w:t xml:space="preserve"> </w:t>
            </w:r>
            <w:proofErr w:type="spellStart"/>
            <w:proofErr w:type="gramStart"/>
            <w:r w:rsidRPr="00526EEC">
              <w:rPr>
                <w:rFonts w:cstheme="minorHAnsi"/>
              </w:rPr>
              <w:t>équ</w:t>
            </w:r>
            <w:proofErr w:type="spellEnd"/>
            <w:r w:rsidRPr="00526EEC">
              <w:rPr>
                <w:rFonts w:cstheme="minorHAnsi"/>
              </w:rPr>
              <w:t>.-</w:t>
            </w:r>
            <w:proofErr w:type="gramEnd"/>
            <w:r w:rsidRPr="00526EEC">
              <w:rPr>
                <w:rFonts w:cstheme="minorHAnsi"/>
              </w:rPr>
              <w:t xml:space="preserve"> CO</w:t>
            </w:r>
            <w:r w:rsidRPr="00526EEC">
              <w:rPr>
                <w:rFonts w:cstheme="minorHAnsi"/>
                <w:vertAlign w:val="subscript"/>
              </w:rPr>
              <w:t>2</w:t>
            </w:r>
          </w:p>
        </w:tc>
        <w:tc>
          <w:tcPr>
            <w:tcW w:w="1843" w:type="dxa"/>
            <w:tcBorders>
              <w:top w:val="single" w:sz="4" w:space="0" w:color="auto"/>
            </w:tcBorders>
            <w:vAlign w:val="center"/>
          </w:tcPr>
          <w:p w:rsidR="00EC697E" w:rsidRPr="00526EEC" w:rsidRDefault="00FF7099" w:rsidP="00EC697E">
            <w:r>
              <w:t>3,6-11,7%</w:t>
            </w:r>
          </w:p>
        </w:tc>
      </w:tr>
      <w:tr w:rsidR="00EC697E" w:rsidRPr="00526EEC" w:rsidTr="00EC697E">
        <w:tc>
          <w:tcPr>
            <w:tcW w:w="2122" w:type="dxa"/>
            <w:vAlign w:val="center"/>
          </w:tcPr>
          <w:p w:rsidR="00EC697E" w:rsidRPr="00526EEC" w:rsidRDefault="00EC697E" w:rsidP="00EC697E">
            <w:r w:rsidRPr="00526EEC">
              <w:t xml:space="preserve">Emission de </w:t>
            </w:r>
            <w:proofErr w:type="spellStart"/>
            <w:r w:rsidRPr="00526EEC">
              <w:t>protoxyde</w:t>
            </w:r>
            <w:proofErr w:type="spellEnd"/>
            <w:r w:rsidRPr="00526EEC">
              <w:t xml:space="preserve"> </w:t>
            </w:r>
            <w:proofErr w:type="spellStart"/>
            <w:r w:rsidRPr="00526EEC">
              <w:t>d’azote</w:t>
            </w:r>
            <w:proofErr w:type="spellEnd"/>
          </w:p>
        </w:tc>
        <w:tc>
          <w:tcPr>
            <w:tcW w:w="1275" w:type="dxa"/>
          </w:tcPr>
          <w:p w:rsidR="00EC697E" w:rsidRPr="00526EEC" w:rsidRDefault="00EC697E" w:rsidP="00EC697E">
            <w:r w:rsidRPr="001C0A5C">
              <w:t>Q14</w:t>
            </w:r>
          </w:p>
        </w:tc>
        <w:tc>
          <w:tcPr>
            <w:tcW w:w="1985" w:type="dxa"/>
            <w:vAlign w:val="center"/>
          </w:tcPr>
          <w:p w:rsidR="00EC697E" w:rsidRPr="00526EEC" w:rsidRDefault="00EC697E" w:rsidP="00EC697E">
            <w:r w:rsidRPr="00526EEC">
              <w:t>270-</w:t>
            </w:r>
            <w:proofErr w:type="gramStart"/>
            <w:r w:rsidRPr="00526EEC">
              <w:t xml:space="preserve">330 </w:t>
            </w:r>
            <w:r>
              <w:t xml:space="preserve"> </w:t>
            </w:r>
            <w:r w:rsidRPr="00526EEC">
              <w:rPr>
                <w:rFonts w:cstheme="minorHAnsi"/>
              </w:rPr>
              <w:t>kg</w:t>
            </w:r>
            <w:proofErr w:type="gramEnd"/>
            <w:r w:rsidRPr="00526EEC">
              <w:rPr>
                <w:rFonts w:cstheme="minorHAnsi"/>
              </w:rPr>
              <w:t xml:space="preserve"> équ-CO</w:t>
            </w:r>
            <w:r w:rsidRPr="00526EEC">
              <w:rPr>
                <w:rFonts w:cstheme="minorHAnsi"/>
                <w:vertAlign w:val="subscript"/>
              </w:rPr>
              <w:t>2</w:t>
            </w:r>
          </w:p>
        </w:tc>
        <w:tc>
          <w:tcPr>
            <w:tcW w:w="1984" w:type="dxa"/>
            <w:tcBorders>
              <w:top w:val="nil"/>
              <w:left w:val="nil"/>
              <w:bottom w:val="single" w:sz="8" w:space="0" w:color="auto"/>
              <w:right w:val="single" w:sz="8" w:space="0" w:color="auto"/>
            </w:tcBorders>
            <w:shd w:val="clear" w:color="auto" w:fill="auto"/>
            <w:vAlign w:val="center"/>
          </w:tcPr>
          <w:p w:rsidR="00EC697E" w:rsidRPr="00526EEC" w:rsidRDefault="00EC697E" w:rsidP="00EC697E">
            <w:r w:rsidRPr="00526EEC">
              <w:t>1</w:t>
            </w:r>
            <w:r>
              <w:t>6,2</w:t>
            </w:r>
            <w:r w:rsidRPr="00526EEC">
              <w:t>-1</w:t>
            </w:r>
            <w:r>
              <w:t xml:space="preserve">9,8 </w:t>
            </w:r>
            <w:proofErr w:type="spellStart"/>
            <w:r w:rsidRPr="00526EEC">
              <w:t>kT</w:t>
            </w:r>
            <w:proofErr w:type="spellEnd"/>
            <w:r w:rsidRPr="00526EEC">
              <w:t xml:space="preserve"> </w:t>
            </w:r>
            <w:proofErr w:type="spellStart"/>
            <w:proofErr w:type="gramStart"/>
            <w:r w:rsidRPr="00526EEC">
              <w:rPr>
                <w:rFonts w:cstheme="minorHAnsi"/>
              </w:rPr>
              <w:t>équ</w:t>
            </w:r>
            <w:proofErr w:type="spellEnd"/>
            <w:r w:rsidRPr="00526EEC">
              <w:rPr>
                <w:rFonts w:cstheme="minorHAnsi"/>
              </w:rPr>
              <w:t>.-</w:t>
            </w:r>
            <w:proofErr w:type="gramEnd"/>
            <w:r w:rsidRPr="00526EEC">
              <w:rPr>
                <w:rFonts w:cstheme="minorHAnsi"/>
              </w:rPr>
              <w:t xml:space="preserve"> CO</w:t>
            </w:r>
            <w:r w:rsidRPr="00526EEC">
              <w:rPr>
                <w:rFonts w:cstheme="minorHAnsi"/>
                <w:vertAlign w:val="subscript"/>
              </w:rPr>
              <w:t>2</w:t>
            </w:r>
          </w:p>
        </w:tc>
        <w:tc>
          <w:tcPr>
            <w:tcW w:w="1843" w:type="dxa"/>
            <w:vAlign w:val="center"/>
          </w:tcPr>
          <w:p w:rsidR="00EC697E" w:rsidRPr="00526EEC" w:rsidRDefault="00116CF2" w:rsidP="00EC697E">
            <w:r>
              <w:t>0,7-0,9%</w:t>
            </w:r>
          </w:p>
        </w:tc>
      </w:tr>
    </w:tbl>
    <w:p w:rsidR="00A3455A" w:rsidRDefault="00A3455A">
      <w:pPr>
        <w:spacing w:after="160" w:line="259" w:lineRule="auto"/>
        <w:jc w:val="left"/>
        <w:rPr>
          <w:rFonts w:asciiTheme="majorHAnsi" w:eastAsiaTheme="minorHAnsi" w:hAnsiTheme="majorHAnsi" w:cstheme="majorBidi"/>
          <w:sz w:val="26"/>
          <w:szCs w:val="26"/>
          <w:u w:val="single"/>
        </w:rPr>
      </w:pPr>
      <w:r>
        <w:rPr>
          <w:rFonts w:eastAsiaTheme="minorHAnsi"/>
        </w:rPr>
        <w:br w:type="page"/>
      </w:r>
    </w:p>
    <w:p w:rsidR="00FE454A" w:rsidRDefault="00FE454A" w:rsidP="0050022D">
      <w:pPr>
        <w:pStyle w:val="Titre1"/>
        <w:rPr>
          <w:rFonts w:eastAsiaTheme="minorHAnsi"/>
        </w:rPr>
        <w:sectPr w:rsidR="00FE454A" w:rsidSect="00FE454A">
          <w:pgSz w:w="11906" w:h="16838"/>
          <w:pgMar w:top="1134" w:right="1417" w:bottom="1135" w:left="1417" w:header="708" w:footer="448" w:gutter="0"/>
          <w:cols w:space="708"/>
          <w:docGrid w:linePitch="360"/>
        </w:sectPr>
      </w:pPr>
      <w:bookmarkStart w:id="130" w:name="_Toc11278981"/>
    </w:p>
    <w:p w:rsidR="005610F4" w:rsidRPr="000132AA" w:rsidRDefault="009C6968" w:rsidP="0050022D">
      <w:pPr>
        <w:pStyle w:val="Titre1"/>
        <w:rPr>
          <w:rFonts w:eastAsiaTheme="minorHAnsi"/>
        </w:rPr>
      </w:pPr>
      <w:bookmarkStart w:id="131" w:name="_Toc25688798"/>
      <w:r>
        <w:rPr>
          <w:rFonts w:eastAsiaTheme="minorHAnsi"/>
        </w:rPr>
        <w:lastRenderedPageBreak/>
        <w:t>Annexe 7</w:t>
      </w:r>
      <w:r w:rsidR="005610F4">
        <w:rPr>
          <w:rFonts w:eastAsiaTheme="minorHAnsi"/>
        </w:rPr>
        <w:t>. Les évolutions de l’efficience</w:t>
      </w:r>
      <w:bookmarkEnd w:id="130"/>
      <w:bookmarkEnd w:id="131"/>
      <w:r w:rsidR="005610F4">
        <w:rPr>
          <w:rFonts w:eastAsiaTheme="minorHAnsi"/>
        </w:rPr>
        <w:t xml:space="preserve"> </w:t>
      </w:r>
    </w:p>
    <w:p w:rsidR="005610F4" w:rsidRPr="00057CAF" w:rsidRDefault="005610F4" w:rsidP="00A3455A">
      <w:pPr>
        <w:rPr>
          <w:lang w:val="fr-FR"/>
        </w:rPr>
      </w:pPr>
      <w:r w:rsidRPr="00057CAF">
        <w:rPr>
          <w:lang w:val="fr-FR"/>
        </w:rPr>
        <w:t xml:space="preserve">En combinant les données de l’ICEW (2014) sur les consommations d’intrants et les données des rapports annuels de la </w:t>
      </w:r>
      <w:proofErr w:type="spellStart"/>
      <w:r w:rsidRPr="00057CAF">
        <w:rPr>
          <w:lang w:val="fr-FR"/>
        </w:rPr>
        <w:t>DGoARNE</w:t>
      </w:r>
      <w:proofErr w:type="spellEnd"/>
      <w:r w:rsidRPr="00057CAF">
        <w:rPr>
          <w:lang w:val="fr-FR"/>
        </w:rPr>
        <w:t xml:space="preserve"> (2006 à 2013), nous avons établi un indice relatif d’efficience (avec une base 1 en 2005) déduit de l’indice relatif de rendements (calculé par la moyenne des indices de plusieurs cultures importantes) et d’un indice relatif d’utilisation d’intrants (par grande catégorie).</w:t>
      </w:r>
    </w:p>
    <w:p w:rsidR="005610F4" w:rsidRPr="00057CAF" w:rsidRDefault="005610F4" w:rsidP="005610F4">
      <w:pPr>
        <w:rPr>
          <w:rFonts w:ascii="New York" w:hAnsi="New York"/>
          <w:lang w:val="fr-FR"/>
        </w:rPr>
      </w:pPr>
    </w:p>
    <w:p w:rsidR="00EE397F" w:rsidRDefault="00EE397F" w:rsidP="005610F4">
      <w:pPr>
        <w:rPr>
          <w:rFonts w:ascii="New York" w:hAnsi="New York"/>
        </w:rPr>
      </w:pPr>
      <w:r>
        <w:rPr>
          <w:rFonts w:ascii="New York" w:hAnsi="New York"/>
          <w:noProof/>
          <w:lang w:val="fr-FR"/>
        </w:rPr>
        <w:drawing>
          <wp:inline distT="0" distB="0" distL="0" distR="0" wp14:anchorId="7544BEA8" wp14:editId="745A8648">
            <wp:extent cx="5505450" cy="3826010"/>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3266" cy="3838391"/>
                    </a:xfrm>
                    <a:prstGeom prst="rect">
                      <a:avLst/>
                    </a:prstGeom>
                    <a:noFill/>
                  </pic:spPr>
                </pic:pic>
              </a:graphicData>
            </a:graphic>
          </wp:inline>
        </w:drawing>
      </w:r>
    </w:p>
    <w:p w:rsidR="005610F4" w:rsidRPr="00057CAF" w:rsidRDefault="005610F4" w:rsidP="005610F4">
      <w:pPr>
        <w:rPr>
          <w:sz w:val="20"/>
          <w:lang w:val="fr-FR"/>
        </w:rPr>
      </w:pPr>
      <w:r w:rsidRPr="00057CAF">
        <w:rPr>
          <w:sz w:val="20"/>
          <w:lang w:val="fr-FR"/>
        </w:rPr>
        <w:t xml:space="preserve">Source : nos calculs, d’après données </w:t>
      </w:r>
      <w:proofErr w:type="spellStart"/>
      <w:r w:rsidRPr="00057CAF">
        <w:rPr>
          <w:sz w:val="20"/>
          <w:lang w:val="fr-FR"/>
        </w:rPr>
        <w:t>DGoARNE</w:t>
      </w:r>
      <w:proofErr w:type="spellEnd"/>
      <w:r w:rsidRPr="00057CAF">
        <w:rPr>
          <w:sz w:val="20"/>
          <w:lang w:val="fr-FR"/>
        </w:rPr>
        <w:t xml:space="preserve"> et ICEW (201</w:t>
      </w:r>
      <w:r w:rsidR="00EE397F" w:rsidRPr="00057CAF">
        <w:rPr>
          <w:sz w:val="20"/>
          <w:lang w:val="fr-FR"/>
        </w:rPr>
        <w:t>7</w:t>
      </w:r>
      <w:r w:rsidRPr="00057CAF">
        <w:rPr>
          <w:sz w:val="20"/>
          <w:lang w:val="fr-FR"/>
        </w:rPr>
        <w:t>)</w:t>
      </w:r>
    </w:p>
    <w:p w:rsidR="00FE454A" w:rsidRPr="00057CAF" w:rsidRDefault="00FE454A" w:rsidP="00A3455A">
      <w:pPr>
        <w:rPr>
          <w:lang w:val="fr-FR"/>
        </w:rPr>
      </w:pPr>
    </w:p>
    <w:p w:rsidR="005610F4" w:rsidRPr="00057CAF" w:rsidRDefault="005610F4" w:rsidP="00A3455A">
      <w:pPr>
        <w:rPr>
          <w:lang w:val="fr-FR"/>
        </w:rPr>
      </w:pPr>
      <w:r w:rsidRPr="00057CAF">
        <w:rPr>
          <w:lang w:val="fr-FR"/>
        </w:rPr>
        <w:t xml:space="preserve">Les tendances sont positives pour le phosphore (P) et le potassium (K). L’azote (N) fait exception, avec une efficience évoluant très peu. Nous relevons que sur la même période l’indice de rendement (moyenne de plusieurs cultures) n’a pas évolué (il a oscillé autour de la valeur 100% et revient à 100% exactement en 2012). </w:t>
      </w:r>
    </w:p>
    <w:p w:rsidR="00C31C81" w:rsidRPr="0090770C" w:rsidRDefault="00C31C81" w:rsidP="00A3455A">
      <w:r>
        <w:rPr>
          <w:noProof/>
          <w:lang w:val="fr-FR"/>
        </w:rPr>
        <w:lastRenderedPageBreak/>
        <w:drawing>
          <wp:inline distT="0" distB="0" distL="0" distR="0" wp14:anchorId="404A7C12" wp14:editId="79FCF3C4">
            <wp:extent cx="5036820" cy="3505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6820" cy="3505200"/>
                    </a:xfrm>
                    <a:prstGeom prst="rect">
                      <a:avLst/>
                    </a:prstGeom>
                    <a:noFill/>
                  </pic:spPr>
                </pic:pic>
              </a:graphicData>
            </a:graphic>
          </wp:inline>
        </w:drawing>
      </w:r>
    </w:p>
    <w:p w:rsidR="005610F4" w:rsidRPr="00057CAF" w:rsidRDefault="005610F4" w:rsidP="005610F4">
      <w:pPr>
        <w:spacing w:line="259" w:lineRule="auto"/>
        <w:rPr>
          <w:sz w:val="20"/>
          <w:lang w:val="fr-FR"/>
        </w:rPr>
      </w:pPr>
      <w:r w:rsidRPr="00057CAF">
        <w:rPr>
          <w:sz w:val="20"/>
          <w:lang w:val="fr-FR"/>
        </w:rPr>
        <w:t>Source : nos calculs, d’après les données des rapports annuels sur l’évolution de l’économie agricole et horticole de la Wallonie (</w:t>
      </w:r>
      <w:proofErr w:type="spellStart"/>
      <w:r w:rsidRPr="00057CAF">
        <w:rPr>
          <w:sz w:val="20"/>
          <w:lang w:val="fr-FR"/>
        </w:rPr>
        <w:t>DGoARNE</w:t>
      </w:r>
      <w:proofErr w:type="spellEnd"/>
      <w:r w:rsidRPr="00057CAF">
        <w:rPr>
          <w:sz w:val="20"/>
          <w:lang w:val="fr-FR"/>
        </w:rPr>
        <w:t>, 2006 à 201</w:t>
      </w:r>
      <w:r w:rsidR="00C31C81" w:rsidRPr="00057CAF">
        <w:rPr>
          <w:sz w:val="20"/>
          <w:lang w:val="fr-FR"/>
        </w:rPr>
        <w:t>9</w:t>
      </w:r>
      <w:r w:rsidRPr="00057CAF">
        <w:rPr>
          <w:sz w:val="20"/>
          <w:lang w:val="fr-FR"/>
        </w:rPr>
        <w:t>)</w:t>
      </w:r>
    </w:p>
    <w:p w:rsidR="00FE454A" w:rsidRPr="00057CAF" w:rsidRDefault="00FE454A" w:rsidP="00A3455A">
      <w:pPr>
        <w:rPr>
          <w:lang w:val="fr-FR"/>
        </w:rPr>
      </w:pPr>
    </w:p>
    <w:p w:rsidR="005610F4" w:rsidRPr="00057CAF" w:rsidRDefault="005610F4" w:rsidP="00A3455A">
      <w:pPr>
        <w:rPr>
          <w:lang w:val="fr-FR"/>
        </w:rPr>
      </w:pPr>
      <w:r w:rsidRPr="00057CAF">
        <w:rPr>
          <w:lang w:val="fr-FR"/>
        </w:rPr>
        <w:t xml:space="preserve">L’augmentation d’efficience n’est donc pas le résultat d’une extensification (réduction des intrants liée à des objectifs de rendements moindres) mais celui de modifications qualitatives des pratiques ou des techniques (visant des rendements élevés à coûts unitaires bas). L’évolution positive de l’efficience a été stimulée par la hausse du prix des intrants et les efforts de réduction des pesticides (Programme wallon de réduction des pesticides). L’écart entre les tendances de l’efficience de P et K et celles de N est en rapport avec l’évolution de leurs prix, P et K provenant de ressources minières en raréfaction Les efforts ciblés sur l’azote à travers le PGDA n’ont pas d’effet apparent. </w:t>
      </w:r>
    </w:p>
    <w:p w:rsidR="00FE454A" w:rsidRPr="00057CAF" w:rsidRDefault="00FE454A" w:rsidP="00A3455A">
      <w:pPr>
        <w:rPr>
          <w:lang w:val="fr-FR"/>
        </w:rPr>
      </w:pPr>
    </w:p>
    <w:p w:rsidR="005610F4" w:rsidRPr="00057CAF" w:rsidRDefault="005610F4" w:rsidP="00A3455A">
      <w:pPr>
        <w:rPr>
          <w:rFonts w:cstheme="minorHAnsi"/>
          <w:szCs w:val="22"/>
          <w:lang w:val="fr-FR"/>
        </w:rPr>
      </w:pPr>
      <w:r w:rsidRPr="00057CAF">
        <w:rPr>
          <w:lang w:val="fr-FR"/>
        </w:rPr>
        <w:t>Les aides du PDR ont vraisemblablement favorisé l’adaptation des techniques à la hausse du prix des engrais phosphorés et potassiques, à travers les</w:t>
      </w:r>
      <w:r w:rsidRPr="00057CAF">
        <w:rPr>
          <w:rFonts w:cstheme="minorHAnsi"/>
          <w:lang w:val="fr-FR"/>
        </w:rPr>
        <w:t xml:space="preserve"> aides générales fongibles, aides aux équipements (M4.1) et actions de formation et démonstration (M1) en faveur d’une gestion plus économe des engrais (fractionnement, dosage plus fin, moins de dérives de pulvérisation).</w:t>
      </w:r>
      <w:r w:rsidRPr="00057CAF">
        <w:rPr>
          <w:rFonts w:cstheme="minorHAnsi"/>
          <w:szCs w:val="22"/>
          <w:lang w:val="fr-FR"/>
        </w:rPr>
        <w:t xml:space="preserve"> </w:t>
      </w:r>
    </w:p>
    <w:p w:rsidR="00A3455A" w:rsidRPr="00057CAF" w:rsidRDefault="00A3455A">
      <w:pPr>
        <w:spacing w:after="160" w:line="259" w:lineRule="auto"/>
        <w:jc w:val="left"/>
        <w:rPr>
          <w:rFonts w:asciiTheme="majorHAnsi" w:eastAsiaTheme="majorEastAsia" w:hAnsiTheme="majorHAnsi" w:cstheme="majorBidi"/>
          <w:sz w:val="26"/>
          <w:szCs w:val="26"/>
          <w:u w:val="single"/>
          <w:lang w:val="fr-FR"/>
        </w:rPr>
      </w:pPr>
      <w:r w:rsidRPr="00057CAF">
        <w:rPr>
          <w:lang w:val="fr-FR"/>
        </w:rPr>
        <w:br w:type="page"/>
      </w:r>
    </w:p>
    <w:p w:rsidR="00FE454A" w:rsidRDefault="00FE454A" w:rsidP="0050022D">
      <w:pPr>
        <w:pStyle w:val="Titre1"/>
        <w:sectPr w:rsidR="00FE454A" w:rsidSect="0050022D">
          <w:type w:val="oddPage"/>
          <w:pgSz w:w="11906" w:h="16838"/>
          <w:pgMar w:top="1417" w:right="1417" w:bottom="1417" w:left="1417" w:header="708" w:footer="708" w:gutter="0"/>
          <w:cols w:space="708"/>
          <w:docGrid w:linePitch="360"/>
        </w:sectPr>
      </w:pPr>
      <w:bookmarkStart w:id="132" w:name="_Toc11278982"/>
    </w:p>
    <w:p w:rsidR="008A1F21" w:rsidRPr="00B75D71" w:rsidRDefault="009C6968" w:rsidP="0050022D">
      <w:pPr>
        <w:pStyle w:val="Titre1"/>
        <w:rPr>
          <w:rFonts w:eastAsiaTheme="minorHAnsi" w:cstheme="minorHAnsi"/>
          <w:szCs w:val="22"/>
        </w:rPr>
      </w:pPr>
      <w:bookmarkStart w:id="133" w:name="_Toc25688799"/>
      <w:r>
        <w:lastRenderedPageBreak/>
        <w:t>Annexe 8</w:t>
      </w:r>
      <w:r w:rsidR="008A1F21" w:rsidRPr="008A1F21">
        <w:t>. Commentaires propres à la mesure 10 : MAEC</w:t>
      </w:r>
      <w:bookmarkEnd w:id="132"/>
      <w:bookmarkEnd w:id="133"/>
      <w:r w:rsidR="008A1F21" w:rsidRPr="008A1F21">
        <w:t xml:space="preserve"> </w:t>
      </w:r>
    </w:p>
    <w:p w:rsidR="008A1F21" w:rsidRPr="00057CAF" w:rsidRDefault="008A1F21" w:rsidP="008A1F21">
      <w:pPr>
        <w:rPr>
          <w:rFonts w:eastAsiaTheme="minorHAnsi" w:cstheme="minorBidi"/>
          <w:szCs w:val="22"/>
          <w:lang w:val="fr-FR"/>
        </w:rPr>
      </w:pPr>
      <w:r w:rsidRPr="00057CAF">
        <w:rPr>
          <w:rFonts w:eastAsiaTheme="minorHAnsi" w:cstheme="minorHAnsi"/>
          <w:szCs w:val="22"/>
          <w:lang w:val="fr-FR"/>
        </w:rPr>
        <w:t xml:space="preserve">Les mesures agroenvironnementales et climatiques (MAEC, M10) restent très orientées vers la biodiversité </w:t>
      </w:r>
      <w:r w:rsidR="00D06C73" w:rsidRPr="00057CAF">
        <w:rPr>
          <w:rFonts w:eastAsiaTheme="minorHAnsi" w:cstheme="minorHAnsi"/>
          <w:szCs w:val="22"/>
          <w:lang w:val="fr-FR"/>
        </w:rPr>
        <w:t>(</w:t>
      </w:r>
      <w:r w:rsidRPr="00057CAF">
        <w:rPr>
          <w:rFonts w:eastAsiaTheme="minorHAnsi" w:cstheme="minorHAnsi"/>
          <w:szCs w:val="22"/>
          <w:lang w:val="fr-FR"/>
        </w:rPr>
        <w:t xml:space="preserve">de sorte que le </w:t>
      </w:r>
      <w:r w:rsidRPr="00057CAF">
        <w:rPr>
          <w:rFonts w:eastAsiaTheme="minorHAnsi" w:cstheme="minorBidi"/>
          <w:szCs w:val="22"/>
          <w:lang w:val="fr-FR"/>
        </w:rPr>
        <w:t>changement de désignation des MAE devenues MAEC ne reflète pas la réalité</w:t>
      </w:r>
      <w:r w:rsidR="00D06C73" w:rsidRPr="00057CAF">
        <w:rPr>
          <w:rFonts w:eastAsiaTheme="minorHAnsi" w:cstheme="minorBidi"/>
          <w:szCs w:val="22"/>
          <w:lang w:val="fr-FR"/>
        </w:rPr>
        <w:t>)</w:t>
      </w:r>
      <w:r w:rsidRPr="00057CAF">
        <w:rPr>
          <w:rFonts w:eastAsiaTheme="minorHAnsi" w:cstheme="minorBidi"/>
          <w:szCs w:val="22"/>
          <w:lang w:val="fr-FR"/>
        </w:rPr>
        <w:t xml:space="preserve">. </w:t>
      </w:r>
    </w:p>
    <w:p w:rsidR="00FE454A" w:rsidRPr="00057CAF" w:rsidRDefault="00FE454A" w:rsidP="008A1F21">
      <w:pPr>
        <w:rPr>
          <w:rFonts w:eastAsiaTheme="minorHAnsi" w:cstheme="minorBidi"/>
          <w:szCs w:val="22"/>
          <w:lang w:val="fr-FR"/>
        </w:rPr>
      </w:pPr>
    </w:p>
    <w:p w:rsidR="008A1F21" w:rsidRPr="00057CAF" w:rsidRDefault="008A1F21" w:rsidP="008A1F21">
      <w:pPr>
        <w:rPr>
          <w:rFonts w:eastAsiaTheme="minorHAnsi" w:cstheme="minorHAnsi"/>
          <w:szCs w:val="22"/>
          <w:lang w:val="fr-FR"/>
        </w:rPr>
      </w:pPr>
      <w:r w:rsidRPr="00057CAF">
        <w:rPr>
          <w:rFonts w:eastAsiaTheme="minorHAnsi" w:cstheme="minorHAnsi"/>
          <w:szCs w:val="22"/>
          <w:lang w:val="fr-FR"/>
        </w:rPr>
        <w:t xml:space="preserve">Elles constituent un point fort de la contribution du PDR </w:t>
      </w:r>
      <w:r w:rsidR="00D06C73" w:rsidRPr="00057CAF">
        <w:rPr>
          <w:rFonts w:eastAsiaTheme="minorHAnsi" w:cstheme="minorHAnsi"/>
          <w:szCs w:val="22"/>
          <w:lang w:val="fr-FR"/>
        </w:rPr>
        <w:t xml:space="preserve">à la protection de la biodiversité, </w:t>
      </w:r>
      <w:r w:rsidRPr="00057CAF">
        <w:rPr>
          <w:rFonts w:eastAsiaTheme="minorHAnsi" w:cstheme="minorHAnsi"/>
          <w:szCs w:val="22"/>
          <w:lang w:val="fr-FR"/>
        </w:rPr>
        <w:t>en raison notamment de la large gamme de méthodes offertes aux agriculteurs et de la continuité du dispositif à long terme, qui avait contribué à asseoir la confiance des agriculteurs. Ces atouts ont toutefois souffert du moratoire de 2012, ainsi des hésitations qui l’ont suivi quant à l’évolution du dispositif.  Certains changements ont été mal compris ou mal perçus, entrainant quelquefois la destruction d’éléments du paysage qui jusque-là avaient été protégés. Si les changements peuvent être justifiés, il semble nécessaire de se limiter à ceux qui corrigent le système vers plus d’efficacité, d’efficience ou de durabilité, et d’assurer la commu</w:t>
      </w:r>
      <w:r w:rsidR="00D06C73" w:rsidRPr="00057CAF">
        <w:rPr>
          <w:rFonts w:eastAsiaTheme="minorHAnsi" w:cstheme="minorHAnsi"/>
          <w:szCs w:val="22"/>
          <w:lang w:val="fr-FR"/>
        </w:rPr>
        <w:t>nication sur leur justification</w:t>
      </w:r>
      <w:r w:rsidRPr="00057CAF">
        <w:rPr>
          <w:rFonts w:eastAsiaTheme="minorHAnsi" w:cstheme="minorHAnsi"/>
          <w:szCs w:val="22"/>
          <w:lang w:val="fr-FR"/>
        </w:rPr>
        <w:t xml:space="preserve">. </w:t>
      </w:r>
    </w:p>
    <w:p w:rsidR="00FE454A" w:rsidRPr="00057CAF" w:rsidRDefault="00FE454A" w:rsidP="008A1F21">
      <w:pPr>
        <w:rPr>
          <w:rFonts w:eastAsiaTheme="minorHAnsi" w:cstheme="minorHAnsi"/>
          <w:szCs w:val="22"/>
          <w:lang w:val="fr-FR"/>
        </w:rPr>
      </w:pPr>
    </w:p>
    <w:p w:rsidR="008A1F21" w:rsidRPr="00057CAF" w:rsidRDefault="008A1F21" w:rsidP="008A1F21">
      <w:pPr>
        <w:rPr>
          <w:rFonts w:eastAsiaTheme="minorHAnsi" w:cstheme="minorHAnsi"/>
          <w:szCs w:val="22"/>
          <w:lang w:val="fr-FR"/>
        </w:rPr>
      </w:pPr>
      <w:r w:rsidRPr="00057CAF">
        <w:rPr>
          <w:rFonts w:eastAsiaTheme="minorHAnsi" w:cstheme="minorHAnsi"/>
          <w:szCs w:val="22"/>
          <w:lang w:val="fr-FR"/>
        </w:rPr>
        <w:t xml:space="preserve">La diversité de MAEC n’en facilite pas la gestion et le contrôle par l’administration. Des difficultés se sont présentées en particulier pour le contrôle de la très populaire MAEC 1a, en raison de divergences entre les déclarations des agriculteurs et les constats de la télédétection, y compris en l’absence de fraude des premiers. </w:t>
      </w:r>
      <w:r w:rsidRPr="00057CAF">
        <w:rPr>
          <w:rFonts w:eastAsiaTheme="minorHAnsi" w:cstheme="minorHAnsi"/>
          <w:b/>
          <w:szCs w:val="22"/>
          <w:lang w:val="fr-FR"/>
        </w:rPr>
        <w:t>Le contrôle a parfois été perçu comme trop administratif ou arbitraire, plus attaché à la lettre qu’à l’esprit, mené sans compréhension de la logique des méthodes et dès lors de manière peu harmonisée avec les messages des conseillers.</w:t>
      </w:r>
      <w:r w:rsidRPr="00057CAF">
        <w:rPr>
          <w:rFonts w:eastAsiaTheme="minorHAnsi" w:cstheme="minorHAnsi"/>
          <w:szCs w:val="22"/>
          <w:lang w:val="fr-FR"/>
        </w:rPr>
        <w:t xml:space="preserve"> Il parait par ailleurs inégal d’une zone à l’autre. De plus la probabilité de contrôle augmente avec la mise en œuvre des MAEC, ce qui accroît le sentiment d’incertitude</w:t>
      </w:r>
      <w:r w:rsidR="00D06C73" w:rsidRPr="00057CAF">
        <w:rPr>
          <w:rFonts w:eastAsiaTheme="minorHAnsi" w:cstheme="minorHAnsi"/>
          <w:szCs w:val="22"/>
          <w:lang w:val="fr-FR"/>
        </w:rPr>
        <w:t xml:space="preserve"> et l’impression que certains secteurs de l’administration désapprouvent les MAEC</w:t>
      </w:r>
      <w:r w:rsidRPr="00057CAF">
        <w:rPr>
          <w:rFonts w:eastAsiaTheme="minorHAnsi" w:cstheme="minorHAnsi"/>
          <w:szCs w:val="22"/>
          <w:lang w:val="fr-FR"/>
        </w:rPr>
        <w:t xml:space="preserve">. </w:t>
      </w:r>
    </w:p>
    <w:p w:rsidR="00FE454A" w:rsidRPr="00057CAF" w:rsidRDefault="00FE454A" w:rsidP="008A1F21">
      <w:pPr>
        <w:rPr>
          <w:rFonts w:eastAsiaTheme="minorHAnsi" w:cstheme="minorHAnsi"/>
          <w:szCs w:val="22"/>
          <w:lang w:val="fr-FR"/>
        </w:rPr>
      </w:pPr>
    </w:p>
    <w:p w:rsidR="008A1F21" w:rsidRPr="00057CAF" w:rsidRDefault="008A1F21" w:rsidP="008A1F21">
      <w:pPr>
        <w:rPr>
          <w:rFonts w:eastAsiaTheme="minorHAnsi" w:cstheme="minorHAnsi"/>
          <w:szCs w:val="22"/>
          <w:lang w:val="fr-FR"/>
        </w:rPr>
      </w:pPr>
      <w:r w:rsidRPr="00057CAF">
        <w:rPr>
          <w:rFonts w:eastAsiaTheme="minorHAnsi" w:cstheme="minorHAnsi"/>
          <w:szCs w:val="22"/>
          <w:lang w:val="fr-FR"/>
        </w:rPr>
        <w:t xml:space="preserve">La perception de l’administration est également entachée par le caractère unilatéral des changements de contrats, le sentiment d’être a priori l’objet de suspicion, l’obligation d’opposer des preuves aux constats erronés du dispositif de contrôle (parfois plusieurs fois de suite), des paiements tardifs et le manque de communication (notamment sur les modifications de cahier des charges et sur ce à quoi se rapportent les paiements perçus). </w:t>
      </w:r>
    </w:p>
    <w:p w:rsidR="00FE454A" w:rsidRPr="00057CAF" w:rsidRDefault="00FE454A" w:rsidP="008A1F21">
      <w:pPr>
        <w:rPr>
          <w:rFonts w:eastAsiaTheme="minorHAnsi" w:cstheme="minorHAnsi"/>
          <w:szCs w:val="22"/>
          <w:lang w:val="fr-FR"/>
        </w:rPr>
      </w:pPr>
    </w:p>
    <w:p w:rsidR="008A1F21" w:rsidRPr="00057CAF" w:rsidRDefault="008A1F21" w:rsidP="008A1F21">
      <w:pPr>
        <w:rPr>
          <w:rFonts w:eastAsiaTheme="minorHAnsi" w:cstheme="minorHAnsi"/>
          <w:szCs w:val="22"/>
          <w:lang w:val="fr-FR"/>
        </w:rPr>
      </w:pPr>
      <w:r w:rsidRPr="00057CAF">
        <w:rPr>
          <w:rFonts w:eastAsiaTheme="minorHAnsi" w:cstheme="minorHAnsi"/>
          <w:szCs w:val="22"/>
          <w:lang w:val="fr-FR"/>
        </w:rPr>
        <w:t xml:space="preserve">Les MAEC étant conçues comme un dispositif volontaire, ajoutant une couche par rapport à une base représentée par les obligations légales et les BCAE, leur impact est parfois limité par un respect insuffisant de ces dernières. </w:t>
      </w:r>
    </w:p>
    <w:p w:rsidR="00FE454A" w:rsidRPr="00057CAF" w:rsidRDefault="00FE454A" w:rsidP="008A1F21">
      <w:pPr>
        <w:rPr>
          <w:rFonts w:eastAsiaTheme="minorHAnsi" w:cstheme="minorHAnsi"/>
          <w:szCs w:val="22"/>
          <w:lang w:val="fr-FR"/>
        </w:rPr>
      </w:pPr>
    </w:p>
    <w:p w:rsidR="008A1F21" w:rsidRPr="00057CAF" w:rsidRDefault="008A1F21" w:rsidP="008A1F21">
      <w:pPr>
        <w:spacing w:after="160"/>
        <w:rPr>
          <w:rFonts w:eastAsiaTheme="minorHAnsi" w:cstheme="minorBidi"/>
          <w:szCs w:val="22"/>
          <w:lang w:val="fr-FR"/>
        </w:rPr>
      </w:pPr>
      <w:r w:rsidRPr="00057CAF">
        <w:rPr>
          <w:rFonts w:eastAsiaTheme="minorHAnsi" w:cstheme="minorBidi"/>
          <w:szCs w:val="22"/>
          <w:lang w:val="fr-FR"/>
        </w:rPr>
        <w:t xml:space="preserve">Un problème récurrent pour les MAEC (et dans une certaine mesure M11) est la difficulté à combiner les deux conditions assurant leur impact, à savoir qu’elles soient adoptées et qu’étant adoptées elles influencent favorablement les pratiques. Le taux d’adhésion est en effet d’autant plus grand que l’impact en termes de pratiques est bas. </w:t>
      </w:r>
    </w:p>
    <w:p w:rsidR="008A1F21" w:rsidRPr="00057CAF" w:rsidRDefault="008A1F21" w:rsidP="008A1F21">
      <w:pPr>
        <w:spacing w:after="160"/>
        <w:rPr>
          <w:rFonts w:eastAsiaTheme="minorHAnsi" w:cstheme="minorBidi"/>
          <w:szCs w:val="22"/>
          <w:lang w:val="fr-FR"/>
        </w:rPr>
      </w:pPr>
      <w:r w:rsidRPr="00057CAF">
        <w:rPr>
          <w:rFonts w:eastAsiaTheme="minorHAnsi" w:cstheme="minorBidi"/>
          <w:szCs w:val="22"/>
          <w:lang w:val="fr-FR"/>
        </w:rPr>
        <w:t>Un problème connexe à celui-là est que l’adhésion à certaines MAEC modifiant les pratiques n’est acquise que moyennant des paiements élevés, qui ne sont pas nécessairement en proportion de l</w:t>
      </w:r>
      <w:r w:rsidR="00D06C73" w:rsidRPr="00057CAF">
        <w:rPr>
          <w:rFonts w:eastAsiaTheme="minorHAnsi" w:cstheme="minorBidi"/>
          <w:szCs w:val="22"/>
          <w:lang w:val="fr-FR"/>
        </w:rPr>
        <w:t>a désidérabilité de l</w:t>
      </w:r>
      <w:r w:rsidRPr="00057CAF">
        <w:rPr>
          <w:rFonts w:eastAsiaTheme="minorHAnsi" w:cstheme="minorBidi"/>
          <w:szCs w:val="22"/>
          <w:lang w:val="fr-FR"/>
        </w:rPr>
        <w:t xml:space="preserve">’impact obtenu, particulièrement dans les zones d’agriculture intensive. </w:t>
      </w:r>
    </w:p>
    <w:p w:rsidR="008A1F21" w:rsidRPr="00057CAF" w:rsidRDefault="008A1F21" w:rsidP="008A1F21">
      <w:pPr>
        <w:spacing w:after="60"/>
        <w:rPr>
          <w:rFonts w:eastAsiaTheme="minorHAnsi" w:cstheme="minorHAnsi"/>
          <w:szCs w:val="22"/>
          <w:lang w:val="fr-FR"/>
        </w:rPr>
      </w:pPr>
      <w:r w:rsidRPr="00057CAF">
        <w:rPr>
          <w:rFonts w:eastAsiaTheme="minorHAnsi" w:cstheme="minorHAnsi"/>
          <w:szCs w:val="22"/>
          <w:lang w:val="fr-FR"/>
        </w:rPr>
        <w:t xml:space="preserve">La relative désaffection dans les terres fertiles soumises à l’agriculture intensive (du moins avant les revalorisations de 2018) se traduit par une tendance à la concentration des MAEC, ce qui revient à une forme de spécialisation entre d’une part une orientation exclusive vers la production de denrées agricoles et une orientation davantage tournée vers la production de services environnementaux. </w:t>
      </w:r>
      <w:r w:rsidRPr="00057CAF">
        <w:rPr>
          <w:rFonts w:eastAsiaTheme="minorHAnsi" w:cstheme="minorHAnsi"/>
          <w:szCs w:val="22"/>
          <w:lang w:val="fr-FR"/>
        </w:rPr>
        <w:lastRenderedPageBreak/>
        <w:t xml:space="preserve">Si la spécialisation présente une certaine logique </w:t>
      </w:r>
      <w:r w:rsidR="00D06C73" w:rsidRPr="00057CAF">
        <w:rPr>
          <w:rFonts w:eastAsiaTheme="minorHAnsi" w:cstheme="minorHAnsi"/>
          <w:szCs w:val="22"/>
          <w:lang w:val="fr-FR"/>
        </w:rPr>
        <w:t xml:space="preserve">elle </w:t>
      </w:r>
      <w:r w:rsidRPr="00057CAF">
        <w:rPr>
          <w:rFonts w:eastAsiaTheme="minorHAnsi" w:cstheme="minorHAnsi"/>
          <w:szCs w:val="22"/>
          <w:lang w:val="fr-FR"/>
        </w:rPr>
        <w:t xml:space="preserve">pose la question de la place que l’on souhaite donner à la biodiversité sur les terres fertiles de culture, où la protection est plus coûteuse mais où la biodiversité risque de continuer à être balayée par les progrès de l’agriculture de précision. Les objectifs de biodiversité devraient y être mieux définis, compte tenu des coûts et des éventuels bénéfices associés, liés notamment au rôle des pollinisateurs et auxiliaires des cultures ou aux demandes des non-agriculteurs. Un effort continu semble nécessaire pour y assurer l’efficience des MAEC (notamment à travers des approches territoriales) et le succès des MAEC qui se justifieraient par un bon rapport coût-bénéfice. </w:t>
      </w:r>
    </w:p>
    <w:p w:rsidR="00FE454A" w:rsidRPr="00057CAF" w:rsidRDefault="00FE454A" w:rsidP="008A1F21">
      <w:pPr>
        <w:spacing w:after="60"/>
        <w:rPr>
          <w:rFonts w:eastAsiaTheme="minorHAnsi" w:cstheme="minorHAnsi"/>
          <w:szCs w:val="22"/>
          <w:lang w:val="fr-FR"/>
        </w:rPr>
      </w:pPr>
    </w:p>
    <w:p w:rsidR="008A1F21" w:rsidRPr="00057CAF" w:rsidRDefault="008A1F21" w:rsidP="008A1F21">
      <w:pPr>
        <w:rPr>
          <w:rFonts w:eastAsiaTheme="minorHAnsi" w:cstheme="minorBidi"/>
          <w:szCs w:val="22"/>
          <w:lang w:val="fr-FR"/>
        </w:rPr>
      </w:pPr>
      <w:r w:rsidRPr="00057CAF">
        <w:rPr>
          <w:rFonts w:eastAsiaTheme="minorHAnsi" w:cstheme="minorBidi"/>
          <w:szCs w:val="22"/>
          <w:lang w:val="fr-FR"/>
        </w:rPr>
        <w:t>Remarques spécifiques aux diverses MAEC.</w:t>
      </w:r>
    </w:p>
    <w:p w:rsidR="00FE454A" w:rsidRPr="00057CAF" w:rsidRDefault="00FE454A" w:rsidP="008A1F21">
      <w:pPr>
        <w:rPr>
          <w:rFonts w:eastAsiaTheme="minorHAnsi" w:cstheme="minorBidi"/>
          <w:szCs w:val="22"/>
          <w:lang w:val="fr-FR"/>
        </w:rPr>
      </w:pPr>
    </w:p>
    <w:tbl>
      <w:tblPr>
        <w:tblStyle w:val="Grilledutableau12"/>
        <w:tblW w:w="9209" w:type="dxa"/>
        <w:tblLook w:val="04A0" w:firstRow="1" w:lastRow="0" w:firstColumn="1" w:lastColumn="0" w:noHBand="0" w:noVBand="1"/>
      </w:tblPr>
      <w:tblGrid>
        <w:gridCol w:w="846"/>
        <w:gridCol w:w="2410"/>
        <w:gridCol w:w="5953"/>
      </w:tblGrid>
      <w:tr w:rsidR="008A1F21" w:rsidRPr="00FE454A" w:rsidTr="00FE454A">
        <w:tc>
          <w:tcPr>
            <w:tcW w:w="846" w:type="dxa"/>
            <w:shd w:val="clear" w:color="auto" w:fill="A50021"/>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MAEC</w:t>
            </w:r>
          </w:p>
        </w:tc>
        <w:tc>
          <w:tcPr>
            <w:tcW w:w="2410" w:type="dxa"/>
            <w:shd w:val="clear" w:color="auto" w:fill="A50021"/>
          </w:tcPr>
          <w:p w:rsidR="008A1F21" w:rsidRPr="00FE454A" w:rsidRDefault="008A1F21" w:rsidP="00E653C9">
            <w:pPr>
              <w:rPr>
                <w:rFonts w:eastAsiaTheme="minorHAnsi" w:cstheme="minorBidi"/>
                <w:sz w:val="22"/>
                <w:szCs w:val="22"/>
              </w:rPr>
            </w:pPr>
            <w:proofErr w:type="spellStart"/>
            <w:r w:rsidRPr="00FE454A">
              <w:rPr>
                <w:rFonts w:eastAsiaTheme="minorHAnsi" w:cstheme="minorBidi"/>
                <w:sz w:val="22"/>
                <w:szCs w:val="22"/>
              </w:rPr>
              <w:t>Désignation</w:t>
            </w:r>
            <w:proofErr w:type="spellEnd"/>
          </w:p>
        </w:tc>
        <w:tc>
          <w:tcPr>
            <w:tcW w:w="5953" w:type="dxa"/>
            <w:shd w:val="clear" w:color="auto" w:fill="A50021"/>
          </w:tcPr>
          <w:p w:rsidR="008A1F21" w:rsidRPr="00FE454A" w:rsidRDefault="008A1F21" w:rsidP="00E653C9">
            <w:pPr>
              <w:rPr>
                <w:rFonts w:eastAsiaTheme="minorHAnsi" w:cstheme="minorBidi"/>
                <w:sz w:val="22"/>
                <w:szCs w:val="22"/>
              </w:rPr>
            </w:pPr>
            <w:proofErr w:type="spellStart"/>
            <w:r w:rsidRPr="00FE454A">
              <w:rPr>
                <w:rFonts w:eastAsiaTheme="minorHAnsi" w:cstheme="minorBidi"/>
                <w:sz w:val="22"/>
                <w:szCs w:val="22"/>
              </w:rPr>
              <w:t>Commentaire</w:t>
            </w:r>
            <w:proofErr w:type="spellEnd"/>
          </w:p>
        </w:tc>
      </w:tr>
      <w:tr w:rsidR="008A1F21" w:rsidRPr="00E9242B" w:rsidTr="00E653C9">
        <w:tc>
          <w:tcPr>
            <w:tcW w:w="846" w:type="dxa"/>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MB1a</w:t>
            </w:r>
          </w:p>
        </w:tc>
        <w:tc>
          <w:tcPr>
            <w:tcW w:w="2410" w:type="dxa"/>
          </w:tcPr>
          <w:p w:rsidR="008A1F21" w:rsidRPr="00FE454A" w:rsidRDefault="008A1F21" w:rsidP="00E653C9">
            <w:pPr>
              <w:rPr>
                <w:rFonts w:eastAsiaTheme="minorHAnsi" w:cstheme="minorBidi"/>
                <w:sz w:val="22"/>
                <w:szCs w:val="22"/>
              </w:rPr>
            </w:pPr>
            <w:proofErr w:type="spellStart"/>
            <w:r w:rsidRPr="00FE454A">
              <w:rPr>
                <w:rFonts w:eastAsiaTheme="minorHAnsi" w:cstheme="minorBidi"/>
                <w:sz w:val="22"/>
                <w:szCs w:val="22"/>
              </w:rPr>
              <w:t>Haies</w:t>
            </w:r>
            <w:proofErr w:type="spellEnd"/>
            <w:r w:rsidRPr="00FE454A">
              <w:rPr>
                <w:rFonts w:eastAsiaTheme="minorHAnsi" w:cstheme="minorBidi"/>
                <w:sz w:val="22"/>
                <w:szCs w:val="22"/>
              </w:rPr>
              <w:t xml:space="preserve"> et </w:t>
            </w:r>
            <w:proofErr w:type="spellStart"/>
            <w:r w:rsidRPr="00FE454A">
              <w:rPr>
                <w:rFonts w:eastAsiaTheme="minorHAnsi" w:cstheme="minorBidi"/>
                <w:sz w:val="22"/>
                <w:szCs w:val="22"/>
              </w:rPr>
              <w:t>alignements</w:t>
            </w:r>
            <w:proofErr w:type="spellEnd"/>
            <w:r w:rsidRPr="00FE454A">
              <w:rPr>
                <w:rFonts w:eastAsiaTheme="minorHAnsi" w:cstheme="minorBidi"/>
                <w:sz w:val="22"/>
                <w:szCs w:val="22"/>
              </w:rPr>
              <w:t xml:space="preserve"> </w:t>
            </w:r>
            <w:proofErr w:type="spellStart"/>
            <w:r w:rsidRPr="00FE454A">
              <w:rPr>
                <w:rFonts w:eastAsiaTheme="minorHAnsi" w:cstheme="minorBidi"/>
                <w:sz w:val="22"/>
                <w:szCs w:val="22"/>
              </w:rPr>
              <w:t>d’arbres</w:t>
            </w:r>
            <w:proofErr w:type="spellEnd"/>
            <w:r w:rsidRPr="00FE454A">
              <w:rPr>
                <w:rFonts w:eastAsiaTheme="minorHAnsi" w:cstheme="minorBidi"/>
                <w:sz w:val="22"/>
                <w:szCs w:val="22"/>
              </w:rPr>
              <w:t xml:space="preserve"> </w:t>
            </w:r>
          </w:p>
        </w:tc>
        <w:tc>
          <w:tcPr>
            <w:tcW w:w="5953" w:type="dxa"/>
            <w:vMerge w:val="restart"/>
          </w:tcPr>
          <w:p w:rsidR="008A1F21" w:rsidRPr="00057CAF" w:rsidRDefault="008A1F21" w:rsidP="00FA2001">
            <w:pPr>
              <w:rPr>
                <w:rFonts w:eastAsiaTheme="minorHAnsi" w:cstheme="minorBidi"/>
                <w:sz w:val="22"/>
                <w:szCs w:val="22"/>
                <w:lang w:val="fr-FR"/>
              </w:rPr>
            </w:pPr>
            <w:r w:rsidRPr="00057CAF">
              <w:rPr>
                <w:rFonts w:eastAsiaTheme="minorHAnsi" w:cstheme="minorBidi"/>
                <w:sz w:val="22"/>
                <w:szCs w:val="22"/>
                <w:lang w:val="fr-FR"/>
              </w:rPr>
              <w:t xml:space="preserve">La MAEC est devenue moins attractive et ne joue plus son rôle d’appel. Les changements depuis le PDR précédent et les contrôles ont été problématiques (évolution de la définition des haies, baisse </w:t>
            </w:r>
            <w:r w:rsidRPr="00057CAF">
              <w:rPr>
                <w:rFonts w:eastAsiaTheme="minorHAnsi" w:cstheme="minorBidi"/>
                <w:sz w:val="22"/>
                <w:szCs w:val="22"/>
                <w:highlight w:val="yellow"/>
                <w:lang w:val="fr-FR"/>
              </w:rPr>
              <w:t>de</w:t>
            </w:r>
            <w:r w:rsidR="00FA2001" w:rsidRPr="00057CAF">
              <w:rPr>
                <w:rFonts w:eastAsiaTheme="minorHAnsi" w:cstheme="minorBidi"/>
                <w:sz w:val="22"/>
                <w:szCs w:val="22"/>
                <w:highlight w:val="yellow"/>
                <w:lang w:val="fr-FR"/>
              </w:rPr>
              <w:t>s montants d’aide</w:t>
            </w:r>
            <w:r w:rsidRPr="00057CAF">
              <w:rPr>
                <w:rFonts w:eastAsiaTheme="minorHAnsi" w:cstheme="minorBidi"/>
                <w:sz w:val="22"/>
                <w:szCs w:val="22"/>
                <w:lang w:val="fr-FR"/>
              </w:rPr>
              <w:t>, constats erronés ou contestables de la télédétection). Des destructions de haies ont été constatées (le contrôle des conditionnalités étant inégal), d’autres haies n’ont simplement plus été déclarées de crainte des ennuis.</w:t>
            </w:r>
          </w:p>
        </w:tc>
      </w:tr>
      <w:tr w:rsidR="008A1F21" w:rsidRPr="00E9242B" w:rsidTr="00E653C9">
        <w:tc>
          <w:tcPr>
            <w:tcW w:w="846" w:type="dxa"/>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MB1b</w:t>
            </w:r>
          </w:p>
        </w:tc>
        <w:tc>
          <w:tcPr>
            <w:tcW w:w="2410" w:type="dxa"/>
          </w:tcPr>
          <w:p w:rsidR="008A1F21" w:rsidRPr="00057CAF" w:rsidRDefault="008A1F21" w:rsidP="00E653C9">
            <w:pPr>
              <w:jc w:val="left"/>
              <w:rPr>
                <w:rFonts w:eastAsiaTheme="minorHAnsi" w:cstheme="minorBidi"/>
                <w:sz w:val="22"/>
                <w:szCs w:val="22"/>
                <w:lang w:val="fr-FR"/>
              </w:rPr>
            </w:pPr>
            <w:r w:rsidRPr="00057CAF">
              <w:rPr>
                <w:rFonts w:eastAsiaTheme="minorHAnsi" w:cstheme="minorBidi"/>
                <w:sz w:val="22"/>
                <w:szCs w:val="22"/>
                <w:lang w:val="fr-FR"/>
              </w:rPr>
              <w:t xml:space="preserve">Arbres isolés, buissons et bosquets </w:t>
            </w:r>
          </w:p>
        </w:tc>
        <w:tc>
          <w:tcPr>
            <w:tcW w:w="5953" w:type="dxa"/>
            <w:vMerge/>
          </w:tcPr>
          <w:p w:rsidR="008A1F21" w:rsidRPr="00057CAF" w:rsidRDefault="008A1F21" w:rsidP="00E653C9">
            <w:pPr>
              <w:rPr>
                <w:rFonts w:eastAsiaTheme="minorHAnsi" w:cstheme="minorBidi"/>
                <w:sz w:val="22"/>
                <w:szCs w:val="22"/>
                <w:lang w:val="fr-FR"/>
              </w:rPr>
            </w:pPr>
          </w:p>
        </w:tc>
      </w:tr>
      <w:tr w:rsidR="008A1F21" w:rsidRPr="00E9242B" w:rsidTr="00E653C9">
        <w:tc>
          <w:tcPr>
            <w:tcW w:w="846" w:type="dxa"/>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MB1c</w:t>
            </w:r>
          </w:p>
        </w:tc>
        <w:tc>
          <w:tcPr>
            <w:tcW w:w="2410" w:type="dxa"/>
          </w:tcPr>
          <w:p w:rsidR="008A1F21" w:rsidRPr="00FE454A" w:rsidRDefault="008A1F21" w:rsidP="00E653C9">
            <w:pPr>
              <w:jc w:val="left"/>
              <w:rPr>
                <w:rFonts w:eastAsiaTheme="minorHAnsi" w:cstheme="minorBidi"/>
                <w:sz w:val="22"/>
                <w:szCs w:val="22"/>
              </w:rPr>
            </w:pPr>
            <w:r w:rsidRPr="00FE454A">
              <w:rPr>
                <w:rFonts w:eastAsiaTheme="minorHAnsi" w:cstheme="minorBidi"/>
                <w:sz w:val="22"/>
                <w:szCs w:val="22"/>
              </w:rPr>
              <w:t xml:space="preserve">Mares </w:t>
            </w:r>
          </w:p>
        </w:tc>
        <w:tc>
          <w:tcPr>
            <w:tcW w:w="5953" w:type="dxa"/>
          </w:tcPr>
          <w:p w:rsidR="008A1F21" w:rsidRPr="00057CAF" w:rsidRDefault="008A1F21" w:rsidP="00E653C9">
            <w:pPr>
              <w:rPr>
                <w:rFonts w:eastAsiaTheme="minorHAnsi" w:cstheme="minorBidi"/>
                <w:sz w:val="22"/>
                <w:szCs w:val="22"/>
                <w:lang w:val="fr-FR"/>
              </w:rPr>
            </w:pPr>
            <w:r w:rsidRPr="00057CAF">
              <w:rPr>
                <w:rFonts w:eastAsiaTheme="minorHAnsi" w:cstheme="minorBidi"/>
                <w:sz w:val="22"/>
                <w:szCs w:val="22"/>
                <w:lang w:val="fr-FR"/>
              </w:rPr>
              <w:t>Les superficies minimales ayant augmenté</w:t>
            </w:r>
            <w:r w:rsidR="00DC57D9" w:rsidRPr="00057CAF">
              <w:rPr>
                <w:rFonts w:eastAsiaTheme="minorHAnsi" w:cstheme="minorBidi"/>
                <w:sz w:val="22"/>
                <w:szCs w:val="22"/>
                <w:lang w:val="fr-FR"/>
              </w:rPr>
              <w:t>,</w:t>
            </w:r>
            <w:r w:rsidRPr="00057CAF">
              <w:rPr>
                <w:rFonts w:eastAsiaTheme="minorHAnsi" w:cstheme="minorBidi"/>
                <w:sz w:val="22"/>
                <w:szCs w:val="22"/>
                <w:lang w:val="fr-FR"/>
              </w:rPr>
              <w:t xml:space="preserve"> des mares anciennement protégées auraient été détruites. Le changement de contrat unilatéral et sans bonne communication a été perçu comme problématique.</w:t>
            </w:r>
            <w:r w:rsidR="00DC57D9" w:rsidRPr="00057CAF">
              <w:rPr>
                <w:rFonts w:eastAsiaTheme="minorHAnsi" w:cstheme="minorBidi"/>
                <w:sz w:val="22"/>
                <w:szCs w:val="22"/>
                <w:lang w:val="fr-FR"/>
              </w:rPr>
              <w:t xml:space="preserve"> </w:t>
            </w:r>
          </w:p>
        </w:tc>
      </w:tr>
      <w:tr w:rsidR="008A1F21" w:rsidRPr="00E9242B" w:rsidTr="00E653C9">
        <w:tc>
          <w:tcPr>
            <w:tcW w:w="846" w:type="dxa"/>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MB2</w:t>
            </w:r>
          </w:p>
        </w:tc>
        <w:tc>
          <w:tcPr>
            <w:tcW w:w="2410" w:type="dxa"/>
          </w:tcPr>
          <w:p w:rsidR="008A1F21" w:rsidRPr="00FE454A" w:rsidRDefault="008A1F21" w:rsidP="00E653C9">
            <w:pPr>
              <w:jc w:val="left"/>
              <w:rPr>
                <w:rFonts w:eastAsiaTheme="minorHAnsi" w:cstheme="minorBidi"/>
                <w:sz w:val="22"/>
                <w:szCs w:val="22"/>
              </w:rPr>
            </w:pPr>
            <w:r w:rsidRPr="00FE454A">
              <w:rPr>
                <w:rFonts w:eastAsiaTheme="minorHAnsi" w:cstheme="minorBidi"/>
                <w:sz w:val="22"/>
                <w:szCs w:val="22"/>
              </w:rPr>
              <w:t xml:space="preserve">Prairies </w:t>
            </w:r>
            <w:proofErr w:type="spellStart"/>
            <w:r w:rsidRPr="00FE454A">
              <w:rPr>
                <w:rFonts w:eastAsiaTheme="minorHAnsi" w:cstheme="minorBidi"/>
                <w:sz w:val="22"/>
                <w:szCs w:val="22"/>
              </w:rPr>
              <w:t>naturelles</w:t>
            </w:r>
            <w:proofErr w:type="spellEnd"/>
            <w:r w:rsidRPr="00FE454A">
              <w:rPr>
                <w:rFonts w:eastAsiaTheme="minorHAnsi" w:cstheme="minorBidi"/>
                <w:sz w:val="22"/>
                <w:szCs w:val="22"/>
              </w:rPr>
              <w:t xml:space="preserve"> </w:t>
            </w:r>
          </w:p>
        </w:tc>
        <w:tc>
          <w:tcPr>
            <w:tcW w:w="5953" w:type="dxa"/>
          </w:tcPr>
          <w:p w:rsidR="008A1F21" w:rsidRPr="00057CAF" w:rsidRDefault="008A1F21" w:rsidP="00DC57D9">
            <w:pPr>
              <w:rPr>
                <w:rFonts w:eastAsiaTheme="minorHAnsi" w:cstheme="minorBidi"/>
                <w:sz w:val="22"/>
                <w:szCs w:val="22"/>
                <w:lang w:val="fr-FR"/>
              </w:rPr>
            </w:pPr>
            <w:r w:rsidRPr="00057CAF">
              <w:rPr>
                <w:rFonts w:eastAsiaTheme="minorHAnsi" w:cstheme="minorBidi"/>
                <w:sz w:val="22"/>
                <w:szCs w:val="22"/>
                <w:lang w:val="fr-FR"/>
              </w:rPr>
              <w:t xml:space="preserve">La rigidité des dates est parfois perçue comme problématique. Les effets du plafonnement à 50% mériteraient une analyse plus approfondie (dispersion de la MAEC entre agriculteurs, évitement d’une spécialisation dans la fonction de « marchand d’herbe », incitation à l’intensification compensatoire ou incitation à MC4 ?) </w:t>
            </w:r>
          </w:p>
        </w:tc>
      </w:tr>
      <w:tr w:rsidR="008A1F21" w:rsidRPr="00E9242B" w:rsidTr="00E653C9">
        <w:tc>
          <w:tcPr>
            <w:tcW w:w="846" w:type="dxa"/>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MC3</w:t>
            </w:r>
          </w:p>
        </w:tc>
        <w:tc>
          <w:tcPr>
            <w:tcW w:w="2410" w:type="dxa"/>
          </w:tcPr>
          <w:p w:rsidR="008A1F21" w:rsidRPr="00FE454A" w:rsidRDefault="008A1F21" w:rsidP="00E653C9">
            <w:pPr>
              <w:jc w:val="left"/>
              <w:rPr>
                <w:rFonts w:eastAsiaTheme="minorHAnsi" w:cstheme="minorBidi"/>
                <w:sz w:val="22"/>
                <w:szCs w:val="22"/>
              </w:rPr>
            </w:pPr>
            <w:r w:rsidRPr="00FE454A">
              <w:rPr>
                <w:rFonts w:eastAsiaTheme="minorHAnsi" w:cstheme="minorBidi"/>
                <w:sz w:val="22"/>
                <w:szCs w:val="22"/>
              </w:rPr>
              <w:t xml:space="preserve">Prairies </w:t>
            </w:r>
            <w:proofErr w:type="spellStart"/>
            <w:r w:rsidRPr="00FE454A">
              <w:rPr>
                <w:rFonts w:eastAsiaTheme="minorHAnsi" w:cstheme="minorBidi"/>
                <w:sz w:val="22"/>
                <w:szCs w:val="22"/>
              </w:rPr>
              <w:t>inondables</w:t>
            </w:r>
            <w:proofErr w:type="spellEnd"/>
            <w:r w:rsidRPr="00FE454A">
              <w:rPr>
                <w:rFonts w:eastAsiaTheme="minorHAnsi" w:cstheme="minorBidi"/>
                <w:sz w:val="22"/>
                <w:szCs w:val="22"/>
              </w:rPr>
              <w:t xml:space="preserve"> </w:t>
            </w:r>
          </w:p>
        </w:tc>
        <w:tc>
          <w:tcPr>
            <w:tcW w:w="5953" w:type="dxa"/>
          </w:tcPr>
          <w:p w:rsidR="008A1F21" w:rsidRPr="00057CAF" w:rsidRDefault="008A1F21" w:rsidP="00E653C9">
            <w:pPr>
              <w:rPr>
                <w:rFonts w:eastAsiaTheme="minorHAnsi" w:cstheme="minorBidi"/>
                <w:sz w:val="22"/>
                <w:szCs w:val="22"/>
                <w:lang w:val="fr-FR"/>
              </w:rPr>
            </w:pPr>
            <w:r w:rsidRPr="00057CAF">
              <w:rPr>
                <w:rFonts w:eastAsiaTheme="minorHAnsi" w:cstheme="minorBidi"/>
                <w:sz w:val="22"/>
                <w:szCs w:val="22"/>
                <w:lang w:val="fr-FR"/>
              </w:rPr>
              <w:t>MAEC anecdotique, qui n’a pas sa raison d’être en l’absence d’activation de la M4.4</w:t>
            </w:r>
          </w:p>
        </w:tc>
      </w:tr>
      <w:tr w:rsidR="008A1F21" w:rsidRPr="00E9242B" w:rsidTr="00E653C9">
        <w:tc>
          <w:tcPr>
            <w:tcW w:w="846" w:type="dxa"/>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MC4</w:t>
            </w:r>
          </w:p>
        </w:tc>
        <w:tc>
          <w:tcPr>
            <w:tcW w:w="2410" w:type="dxa"/>
          </w:tcPr>
          <w:p w:rsidR="008A1F21" w:rsidRPr="00057CAF" w:rsidRDefault="008A1F21" w:rsidP="00E653C9">
            <w:pPr>
              <w:jc w:val="left"/>
              <w:rPr>
                <w:rFonts w:eastAsiaTheme="minorHAnsi" w:cstheme="minorBidi"/>
                <w:sz w:val="22"/>
                <w:szCs w:val="22"/>
                <w:lang w:val="fr-FR"/>
              </w:rPr>
            </w:pPr>
            <w:r w:rsidRPr="00057CAF">
              <w:rPr>
                <w:rFonts w:eastAsiaTheme="minorHAnsi" w:cstheme="minorBidi"/>
                <w:sz w:val="22"/>
                <w:szCs w:val="22"/>
                <w:lang w:val="fr-FR"/>
              </w:rPr>
              <w:t xml:space="preserve">Prairies de haute valeur biologique </w:t>
            </w:r>
          </w:p>
        </w:tc>
        <w:tc>
          <w:tcPr>
            <w:tcW w:w="5953" w:type="dxa"/>
          </w:tcPr>
          <w:p w:rsidR="008A1F21" w:rsidRPr="00057CAF" w:rsidRDefault="008A1F21" w:rsidP="00E653C9">
            <w:pPr>
              <w:rPr>
                <w:rFonts w:eastAsiaTheme="minorHAnsi" w:cstheme="minorBidi"/>
                <w:sz w:val="22"/>
                <w:szCs w:val="22"/>
                <w:lang w:val="fr-FR"/>
              </w:rPr>
            </w:pPr>
            <w:r w:rsidRPr="00057CAF">
              <w:rPr>
                <w:rFonts w:eastAsiaTheme="minorHAnsi" w:cstheme="minorBidi"/>
                <w:sz w:val="22"/>
                <w:szCs w:val="22"/>
                <w:lang w:val="fr-FR"/>
              </w:rPr>
              <w:t>MAEC particulièrement importante, efficace et en progression constante malgré la raréfaction des superficies éligibles.</w:t>
            </w:r>
          </w:p>
        </w:tc>
      </w:tr>
      <w:tr w:rsidR="008A1F21" w:rsidRPr="00E9242B" w:rsidTr="00E653C9">
        <w:tc>
          <w:tcPr>
            <w:tcW w:w="846" w:type="dxa"/>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MB5</w:t>
            </w:r>
          </w:p>
        </w:tc>
        <w:tc>
          <w:tcPr>
            <w:tcW w:w="2410" w:type="dxa"/>
          </w:tcPr>
          <w:p w:rsidR="008A1F21" w:rsidRPr="00FE454A" w:rsidRDefault="008A1F21" w:rsidP="00E653C9">
            <w:pPr>
              <w:jc w:val="left"/>
              <w:rPr>
                <w:rFonts w:eastAsiaTheme="minorHAnsi" w:cstheme="minorBidi"/>
                <w:sz w:val="22"/>
                <w:szCs w:val="22"/>
              </w:rPr>
            </w:pPr>
            <w:proofErr w:type="spellStart"/>
            <w:r w:rsidRPr="00FE454A">
              <w:rPr>
                <w:rFonts w:eastAsiaTheme="minorHAnsi" w:cstheme="minorBidi"/>
                <w:sz w:val="22"/>
                <w:szCs w:val="22"/>
              </w:rPr>
              <w:t>Tournières</w:t>
            </w:r>
            <w:proofErr w:type="spellEnd"/>
            <w:r w:rsidRPr="00FE454A">
              <w:rPr>
                <w:rFonts w:eastAsiaTheme="minorHAnsi" w:cstheme="minorBidi"/>
                <w:sz w:val="22"/>
                <w:szCs w:val="22"/>
              </w:rPr>
              <w:t xml:space="preserve"> </w:t>
            </w:r>
            <w:proofErr w:type="spellStart"/>
            <w:r w:rsidRPr="00FE454A">
              <w:rPr>
                <w:rFonts w:eastAsiaTheme="minorHAnsi" w:cstheme="minorBidi"/>
                <w:sz w:val="22"/>
                <w:szCs w:val="22"/>
              </w:rPr>
              <w:t>enherbées</w:t>
            </w:r>
            <w:proofErr w:type="spellEnd"/>
            <w:r w:rsidRPr="00FE454A">
              <w:rPr>
                <w:rFonts w:eastAsiaTheme="minorHAnsi" w:cstheme="minorBidi"/>
                <w:sz w:val="22"/>
                <w:szCs w:val="22"/>
              </w:rPr>
              <w:t xml:space="preserve"> </w:t>
            </w:r>
          </w:p>
        </w:tc>
        <w:tc>
          <w:tcPr>
            <w:tcW w:w="5953" w:type="dxa"/>
          </w:tcPr>
          <w:p w:rsidR="008A1F21" w:rsidRPr="00057CAF" w:rsidRDefault="008A1F21" w:rsidP="00DC57D9">
            <w:pPr>
              <w:rPr>
                <w:rFonts w:eastAsiaTheme="minorHAnsi" w:cstheme="minorBidi"/>
                <w:sz w:val="22"/>
                <w:szCs w:val="22"/>
                <w:lang w:val="fr-FR"/>
              </w:rPr>
            </w:pPr>
            <w:r w:rsidRPr="00057CAF">
              <w:rPr>
                <w:rFonts w:eastAsiaTheme="minorHAnsi" w:cstheme="minorBidi"/>
                <w:sz w:val="22"/>
                <w:szCs w:val="22"/>
                <w:lang w:val="fr-FR"/>
              </w:rPr>
              <w:t>Après une décroissance, elles ont repris à partir de 2016 (Walot</w:t>
            </w:r>
            <w:r w:rsidR="00DC57D9" w:rsidRPr="00057CAF">
              <w:rPr>
                <w:rFonts w:eastAsiaTheme="minorHAnsi" w:cstheme="minorBidi"/>
                <w:sz w:val="22"/>
                <w:szCs w:val="22"/>
                <w:lang w:val="fr-FR"/>
              </w:rPr>
              <w:t>, 2018</w:t>
            </w:r>
            <w:r w:rsidRPr="00057CAF">
              <w:rPr>
                <w:rFonts w:eastAsiaTheme="minorHAnsi" w:cstheme="minorBidi"/>
                <w:sz w:val="22"/>
                <w:szCs w:val="22"/>
                <w:lang w:val="fr-FR"/>
              </w:rPr>
              <w:t>).</w:t>
            </w:r>
            <w:r w:rsidR="00DC57D9" w:rsidRPr="00057CAF">
              <w:rPr>
                <w:rFonts w:eastAsiaTheme="minorHAnsi" w:cstheme="minorBidi"/>
                <w:sz w:val="22"/>
                <w:szCs w:val="22"/>
                <w:lang w:val="fr-FR"/>
              </w:rPr>
              <w:t xml:space="preserve"> L’enquête suggère un fort « turn-over » (nombreuses nouvelles adhésions et nombreuses désaffections). </w:t>
            </w:r>
          </w:p>
        </w:tc>
      </w:tr>
      <w:tr w:rsidR="008A1F21" w:rsidRPr="00E9242B" w:rsidTr="00E653C9">
        <w:tc>
          <w:tcPr>
            <w:tcW w:w="846" w:type="dxa"/>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MB6</w:t>
            </w:r>
          </w:p>
        </w:tc>
        <w:tc>
          <w:tcPr>
            <w:tcW w:w="2410" w:type="dxa"/>
          </w:tcPr>
          <w:p w:rsidR="008A1F21" w:rsidRPr="00FE454A" w:rsidRDefault="008A1F21" w:rsidP="00E653C9">
            <w:pPr>
              <w:jc w:val="left"/>
              <w:rPr>
                <w:rFonts w:eastAsiaTheme="minorHAnsi" w:cstheme="minorBidi"/>
                <w:sz w:val="22"/>
                <w:szCs w:val="22"/>
              </w:rPr>
            </w:pPr>
            <w:r w:rsidRPr="00FE454A">
              <w:rPr>
                <w:rFonts w:eastAsiaTheme="minorHAnsi" w:cstheme="minorBidi"/>
                <w:sz w:val="22"/>
                <w:szCs w:val="22"/>
              </w:rPr>
              <w:t xml:space="preserve">Cultures </w:t>
            </w:r>
            <w:proofErr w:type="spellStart"/>
            <w:r w:rsidRPr="00FE454A">
              <w:rPr>
                <w:rFonts w:eastAsiaTheme="minorHAnsi" w:cstheme="minorBidi"/>
                <w:sz w:val="22"/>
                <w:szCs w:val="22"/>
              </w:rPr>
              <w:t>favorables</w:t>
            </w:r>
            <w:proofErr w:type="spellEnd"/>
            <w:r w:rsidRPr="00FE454A">
              <w:rPr>
                <w:rFonts w:eastAsiaTheme="minorHAnsi" w:cstheme="minorBidi"/>
                <w:sz w:val="22"/>
                <w:szCs w:val="22"/>
              </w:rPr>
              <w:t xml:space="preserve"> à </w:t>
            </w:r>
            <w:proofErr w:type="spellStart"/>
            <w:r w:rsidRPr="00FE454A">
              <w:rPr>
                <w:rFonts w:eastAsiaTheme="minorHAnsi" w:cstheme="minorBidi"/>
                <w:sz w:val="22"/>
                <w:szCs w:val="22"/>
              </w:rPr>
              <w:t>l’environnement</w:t>
            </w:r>
            <w:proofErr w:type="spellEnd"/>
            <w:r w:rsidRPr="00FE454A">
              <w:rPr>
                <w:rFonts w:eastAsiaTheme="minorHAnsi" w:cstheme="minorBidi"/>
                <w:sz w:val="22"/>
                <w:szCs w:val="22"/>
              </w:rPr>
              <w:t xml:space="preserve"> </w:t>
            </w:r>
          </w:p>
        </w:tc>
        <w:tc>
          <w:tcPr>
            <w:tcW w:w="5953" w:type="dxa"/>
          </w:tcPr>
          <w:p w:rsidR="008A1F21" w:rsidRPr="00057CAF" w:rsidRDefault="008A1F21" w:rsidP="00E653C9">
            <w:pPr>
              <w:rPr>
                <w:rFonts w:eastAsiaTheme="minorHAnsi" w:cstheme="minorBidi"/>
                <w:sz w:val="22"/>
                <w:szCs w:val="22"/>
                <w:lang w:val="fr-FR"/>
              </w:rPr>
            </w:pPr>
            <w:r w:rsidRPr="00057CAF">
              <w:rPr>
                <w:rFonts w:eastAsiaTheme="minorHAnsi" w:cstheme="minorBidi"/>
                <w:sz w:val="22"/>
                <w:szCs w:val="22"/>
                <w:lang w:val="fr-FR"/>
              </w:rPr>
              <w:t xml:space="preserve">Cette MAEC pourrait jouer une fonction d’appel en terres de cultures, elle a fait l’objet de révision </w:t>
            </w:r>
            <w:r w:rsidR="00DC57D9" w:rsidRPr="00057CAF">
              <w:rPr>
                <w:rFonts w:eastAsiaTheme="minorHAnsi" w:cstheme="minorBidi"/>
                <w:sz w:val="22"/>
                <w:szCs w:val="22"/>
                <w:lang w:val="fr-FR"/>
              </w:rPr>
              <w:t xml:space="preserve">et revalorisation </w:t>
            </w:r>
            <w:r w:rsidRPr="00057CAF">
              <w:rPr>
                <w:rFonts w:eastAsiaTheme="minorHAnsi" w:cstheme="minorBidi"/>
                <w:sz w:val="22"/>
                <w:szCs w:val="22"/>
                <w:lang w:val="fr-FR"/>
              </w:rPr>
              <w:t>en 2018</w:t>
            </w:r>
            <w:r w:rsidR="00DC57D9" w:rsidRPr="00057CAF">
              <w:rPr>
                <w:rFonts w:eastAsiaTheme="minorHAnsi" w:cstheme="minorBidi"/>
                <w:sz w:val="22"/>
                <w:szCs w:val="22"/>
                <w:lang w:val="fr-FR"/>
              </w:rPr>
              <w:t>, avec une bonne (mais irrégulière) attractivité envers les oiseaux</w:t>
            </w:r>
            <w:r w:rsidRPr="00057CAF">
              <w:rPr>
                <w:rFonts w:eastAsiaTheme="minorHAnsi" w:cstheme="minorBidi"/>
                <w:sz w:val="22"/>
                <w:szCs w:val="22"/>
                <w:lang w:val="fr-FR"/>
              </w:rPr>
              <w:t xml:space="preserve">. </w:t>
            </w:r>
          </w:p>
        </w:tc>
      </w:tr>
      <w:tr w:rsidR="008A1F21" w:rsidRPr="00E9242B" w:rsidTr="00E653C9">
        <w:trPr>
          <w:trHeight w:val="207"/>
        </w:trPr>
        <w:tc>
          <w:tcPr>
            <w:tcW w:w="846" w:type="dxa"/>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MC7</w:t>
            </w:r>
          </w:p>
        </w:tc>
        <w:tc>
          <w:tcPr>
            <w:tcW w:w="2410" w:type="dxa"/>
          </w:tcPr>
          <w:p w:rsidR="008A1F21" w:rsidRPr="00FE454A" w:rsidRDefault="008A1F21" w:rsidP="00E653C9">
            <w:pPr>
              <w:jc w:val="left"/>
              <w:rPr>
                <w:rFonts w:eastAsiaTheme="minorHAnsi" w:cstheme="minorBidi"/>
                <w:sz w:val="22"/>
                <w:szCs w:val="22"/>
              </w:rPr>
            </w:pPr>
            <w:proofErr w:type="spellStart"/>
            <w:r w:rsidRPr="00FE454A">
              <w:rPr>
                <w:rFonts w:eastAsiaTheme="minorHAnsi" w:cstheme="minorBidi"/>
                <w:sz w:val="22"/>
                <w:szCs w:val="22"/>
              </w:rPr>
              <w:t>Parcelles</w:t>
            </w:r>
            <w:proofErr w:type="spellEnd"/>
            <w:r w:rsidRPr="00FE454A">
              <w:rPr>
                <w:rFonts w:eastAsiaTheme="minorHAnsi" w:cstheme="minorBidi"/>
                <w:sz w:val="22"/>
                <w:szCs w:val="22"/>
              </w:rPr>
              <w:t xml:space="preserve"> </w:t>
            </w:r>
            <w:proofErr w:type="spellStart"/>
            <w:r w:rsidRPr="00FE454A">
              <w:rPr>
                <w:rFonts w:eastAsiaTheme="minorHAnsi" w:cstheme="minorBidi"/>
                <w:sz w:val="22"/>
                <w:szCs w:val="22"/>
              </w:rPr>
              <w:t>aménagées</w:t>
            </w:r>
            <w:proofErr w:type="spellEnd"/>
            <w:r w:rsidRPr="00FE454A">
              <w:rPr>
                <w:rFonts w:eastAsiaTheme="minorHAnsi" w:cstheme="minorBidi"/>
                <w:sz w:val="22"/>
                <w:szCs w:val="22"/>
              </w:rPr>
              <w:t xml:space="preserve"> </w:t>
            </w:r>
          </w:p>
        </w:tc>
        <w:tc>
          <w:tcPr>
            <w:tcW w:w="5953" w:type="dxa"/>
            <w:vMerge w:val="restart"/>
          </w:tcPr>
          <w:p w:rsidR="008A1F21" w:rsidRPr="00057CAF" w:rsidRDefault="008A1F21" w:rsidP="00E653C9">
            <w:pPr>
              <w:rPr>
                <w:rFonts w:eastAsiaTheme="minorHAnsi" w:cstheme="minorBidi"/>
                <w:sz w:val="22"/>
                <w:szCs w:val="22"/>
                <w:lang w:val="fr-FR"/>
              </w:rPr>
            </w:pPr>
            <w:r w:rsidRPr="00057CAF">
              <w:rPr>
                <w:rFonts w:eastAsiaTheme="minorHAnsi" w:cstheme="minorBidi"/>
                <w:sz w:val="22"/>
                <w:szCs w:val="22"/>
                <w:lang w:val="fr-FR"/>
              </w:rPr>
              <w:t xml:space="preserve">Mesures revalorisées en 2018, le risque de retournement de prairies (même naturelles) éventuellement motivé par la perspective d’accéder à cette MAEC doit être surveillé. </w:t>
            </w:r>
          </w:p>
        </w:tc>
      </w:tr>
      <w:tr w:rsidR="008A1F21" w:rsidRPr="00FE454A" w:rsidTr="00E653C9">
        <w:trPr>
          <w:trHeight w:val="207"/>
        </w:trPr>
        <w:tc>
          <w:tcPr>
            <w:tcW w:w="846" w:type="dxa"/>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MC8</w:t>
            </w:r>
          </w:p>
        </w:tc>
        <w:tc>
          <w:tcPr>
            <w:tcW w:w="2410" w:type="dxa"/>
          </w:tcPr>
          <w:p w:rsidR="008A1F21" w:rsidRPr="00FE454A" w:rsidRDefault="008A1F21" w:rsidP="00E653C9">
            <w:pPr>
              <w:jc w:val="left"/>
              <w:rPr>
                <w:rFonts w:eastAsiaTheme="minorHAnsi" w:cstheme="minorBidi"/>
                <w:sz w:val="22"/>
                <w:szCs w:val="22"/>
              </w:rPr>
            </w:pPr>
            <w:proofErr w:type="spellStart"/>
            <w:r w:rsidRPr="00FE454A">
              <w:rPr>
                <w:rFonts w:eastAsiaTheme="minorHAnsi" w:cstheme="minorBidi"/>
                <w:sz w:val="22"/>
                <w:szCs w:val="22"/>
              </w:rPr>
              <w:t>Bandes</w:t>
            </w:r>
            <w:proofErr w:type="spellEnd"/>
            <w:r w:rsidRPr="00FE454A">
              <w:rPr>
                <w:rFonts w:eastAsiaTheme="minorHAnsi" w:cstheme="minorBidi"/>
                <w:sz w:val="22"/>
                <w:szCs w:val="22"/>
              </w:rPr>
              <w:t xml:space="preserve"> </w:t>
            </w:r>
            <w:proofErr w:type="spellStart"/>
            <w:r w:rsidRPr="00FE454A">
              <w:rPr>
                <w:rFonts w:eastAsiaTheme="minorHAnsi" w:cstheme="minorBidi"/>
                <w:sz w:val="22"/>
                <w:szCs w:val="22"/>
              </w:rPr>
              <w:t>aménagées</w:t>
            </w:r>
            <w:proofErr w:type="spellEnd"/>
            <w:r w:rsidRPr="00FE454A">
              <w:rPr>
                <w:rFonts w:eastAsiaTheme="minorHAnsi" w:cstheme="minorBidi"/>
                <w:sz w:val="22"/>
                <w:szCs w:val="22"/>
              </w:rPr>
              <w:t xml:space="preserve"> </w:t>
            </w:r>
          </w:p>
        </w:tc>
        <w:tc>
          <w:tcPr>
            <w:tcW w:w="5953" w:type="dxa"/>
            <w:vMerge/>
          </w:tcPr>
          <w:p w:rsidR="008A1F21" w:rsidRPr="00FE454A" w:rsidRDefault="008A1F21" w:rsidP="00E653C9">
            <w:pPr>
              <w:rPr>
                <w:rFonts w:eastAsiaTheme="minorHAnsi" w:cstheme="minorBidi"/>
                <w:sz w:val="22"/>
                <w:szCs w:val="22"/>
              </w:rPr>
            </w:pPr>
          </w:p>
        </w:tc>
      </w:tr>
      <w:tr w:rsidR="008A1F21" w:rsidRPr="00FE454A" w:rsidTr="00E653C9">
        <w:trPr>
          <w:trHeight w:val="207"/>
        </w:trPr>
        <w:tc>
          <w:tcPr>
            <w:tcW w:w="846" w:type="dxa"/>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MB9</w:t>
            </w:r>
          </w:p>
        </w:tc>
        <w:tc>
          <w:tcPr>
            <w:tcW w:w="2410" w:type="dxa"/>
          </w:tcPr>
          <w:p w:rsidR="008A1F21" w:rsidRPr="00FE454A" w:rsidRDefault="008A1F21" w:rsidP="00E653C9">
            <w:pPr>
              <w:jc w:val="left"/>
              <w:rPr>
                <w:rFonts w:eastAsiaTheme="minorHAnsi" w:cstheme="minorBidi"/>
                <w:sz w:val="22"/>
                <w:szCs w:val="22"/>
              </w:rPr>
            </w:pPr>
            <w:proofErr w:type="spellStart"/>
            <w:r w:rsidRPr="00FE454A">
              <w:rPr>
                <w:rFonts w:eastAsiaTheme="minorHAnsi" w:cstheme="minorBidi"/>
                <w:sz w:val="22"/>
                <w:szCs w:val="22"/>
              </w:rPr>
              <w:t>Autonomie</w:t>
            </w:r>
            <w:proofErr w:type="spellEnd"/>
            <w:r w:rsidRPr="00FE454A">
              <w:rPr>
                <w:rFonts w:eastAsiaTheme="minorHAnsi" w:cstheme="minorBidi"/>
                <w:sz w:val="22"/>
                <w:szCs w:val="22"/>
              </w:rPr>
              <w:t xml:space="preserve"> </w:t>
            </w:r>
            <w:proofErr w:type="spellStart"/>
            <w:r w:rsidRPr="00FE454A">
              <w:rPr>
                <w:rFonts w:eastAsiaTheme="minorHAnsi" w:cstheme="minorBidi"/>
                <w:sz w:val="22"/>
                <w:szCs w:val="22"/>
              </w:rPr>
              <w:t>fourragère</w:t>
            </w:r>
            <w:proofErr w:type="spellEnd"/>
            <w:r w:rsidRPr="00FE454A">
              <w:rPr>
                <w:rFonts w:eastAsiaTheme="minorHAnsi" w:cstheme="minorBidi"/>
                <w:sz w:val="22"/>
                <w:szCs w:val="22"/>
              </w:rPr>
              <w:t xml:space="preserve"> </w:t>
            </w:r>
          </w:p>
        </w:tc>
        <w:tc>
          <w:tcPr>
            <w:tcW w:w="5953" w:type="dxa"/>
          </w:tcPr>
          <w:p w:rsidR="008A1F21" w:rsidRPr="00FE454A" w:rsidRDefault="008A1F21" w:rsidP="00E653C9">
            <w:pPr>
              <w:rPr>
                <w:rFonts w:eastAsiaTheme="minorHAnsi" w:cstheme="minorBidi"/>
                <w:sz w:val="22"/>
                <w:szCs w:val="22"/>
              </w:rPr>
            </w:pPr>
            <w:r w:rsidRPr="00057CAF">
              <w:rPr>
                <w:rFonts w:eastAsiaTheme="minorHAnsi" w:cstheme="minorBidi"/>
                <w:sz w:val="22"/>
                <w:szCs w:val="22"/>
                <w:lang w:val="fr-FR"/>
              </w:rPr>
              <w:t>MAEC efficace pour la biodiversité, et souvent utile au lancement d’une démarche de réflexion.</w:t>
            </w:r>
            <w:r w:rsidR="00DC57D9" w:rsidRPr="00057CAF">
              <w:rPr>
                <w:rFonts w:eastAsiaTheme="minorHAnsi" w:cstheme="minorBidi"/>
                <w:sz w:val="22"/>
                <w:szCs w:val="22"/>
                <w:lang w:val="fr-FR"/>
              </w:rPr>
              <w:t xml:space="preserve"> </w:t>
            </w:r>
            <w:proofErr w:type="spellStart"/>
            <w:r w:rsidR="00DC57D9" w:rsidRPr="00FE454A">
              <w:rPr>
                <w:rFonts w:eastAsiaTheme="minorHAnsi" w:cstheme="minorBidi"/>
                <w:sz w:val="22"/>
                <w:szCs w:val="22"/>
              </w:rPr>
              <w:t>Mais</w:t>
            </w:r>
            <w:proofErr w:type="spellEnd"/>
            <w:r w:rsidR="00DC57D9" w:rsidRPr="00FE454A">
              <w:rPr>
                <w:rFonts w:eastAsiaTheme="minorHAnsi" w:cstheme="minorBidi"/>
                <w:sz w:val="22"/>
                <w:szCs w:val="22"/>
              </w:rPr>
              <w:t xml:space="preserve"> son </w:t>
            </w:r>
            <w:proofErr w:type="spellStart"/>
            <w:r w:rsidR="00DC57D9" w:rsidRPr="00FE454A">
              <w:rPr>
                <w:rFonts w:eastAsiaTheme="minorHAnsi" w:cstheme="minorBidi"/>
                <w:sz w:val="22"/>
                <w:szCs w:val="22"/>
              </w:rPr>
              <w:t>succès</w:t>
            </w:r>
            <w:proofErr w:type="spellEnd"/>
            <w:r w:rsidR="00DC57D9" w:rsidRPr="00FE454A">
              <w:rPr>
                <w:rFonts w:eastAsiaTheme="minorHAnsi" w:cstheme="minorBidi"/>
                <w:sz w:val="22"/>
                <w:szCs w:val="22"/>
              </w:rPr>
              <w:t xml:space="preserve"> </w:t>
            </w:r>
            <w:proofErr w:type="spellStart"/>
            <w:r w:rsidR="00DC57D9" w:rsidRPr="00FE454A">
              <w:rPr>
                <w:rFonts w:eastAsiaTheme="minorHAnsi" w:cstheme="minorBidi"/>
                <w:sz w:val="22"/>
                <w:szCs w:val="22"/>
              </w:rPr>
              <w:t>tient</w:t>
            </w:r>
            <w:proofErr w:type="spellEnd"/>
            <w:r w:rsidR="00DC57D9" w:rsidRPr="00FE454A">
              <w:rPr>
                <w:rFonts w:eastAsiaTheme="minorHAnsi" w:cstheme="minorBidi"/>
                <w:sz w:val="22"/>
                <w:szCs w:val="22"/>
              </w:rPr>
              <w:t xml:space="preserve"> à </w:t>
            </w:r>
            <w:proofErr w:type="spellStart"/>
            <w:r w:rsidR="00DC57D9" w:rsidRPr="00FE454A">
              <w:rPr>
                <w:rFonts w:eastAsiaTheme="minorHAnsi" w:cstheme="minorBidi"/>
                <w:sz w:val="22"/>
                <w:szCs w:val="22"/>
              </w:rPr>
              <w:t>l’introduction</w:t>
            </w:r>
            <w:proofErr w:type="spellEnd"/>
            <w:r w:rsidR="00DC57D9" w:rsidRPr="00FE454A">
              <w:rPr>
                <w:rFonts w:eastAsiaTheme="minorHAnsi" w:cstheme="minorBidi"/>
                <w:sz w:val="22"/>
                <w:szCs w:val="22"/>
              </w:rPr>
              <w:t xml:space="preserve"> </w:t>
            </w:r>
            <w:proofErr w:type="spellStart"/>
            <w:r w:rsidR="00DC57D9" w:rsidRPr="00FE454A">
              <w:rPr>
                <w:rFonts w:eastAsiaTheme="minorHAnsi" w:cstheme="minorBidi"/>
                <w:sz w:val="22"/>
                <w:szCs w:val="22"/>
              </w:rPr>
              <w:t>d’une</w:t>
            </w:r>
            <w:proofErr w:type="spellEnd"/>
            <w:r w:rsidR="00DC57D9" w:rsidRPr="00FE454A">
              <w:rPr>
                <w:rFonts w:eastAsiaTheme="minorHAnsi" w:cstheme="minorBidi"/>
                <w:sz w:val="22"/>
                <w:szCs w:val="22"/>
              </w:rPr>
              <w:t xml:space="preserve"> </w:t>
            </w:r>
            <w:proofErr w:type="spellStart"/>
            <w:r w:rsidR="00DC57D9" w:rsidRPr="00FE454A">
              <w:rPr>
                <w:rFonts w:eastAsiaTheme="minorHAnsi" w:cstheme="minorBidi"/>
                <w:sz w:val="22"/>
                <w:szCs w:val="22"/>
              </w:rPr>
              <w:t>variante</w:t>
            </w:r>
            <w:proofErr w:type="spellEnd"/>
            <w:r w:rsidR="00DC57D9" w:rsidRPr="00FE454A">
              <w:rPr>
                <w:rFonts w:eastAsiaTheme="minorHAnsi" w:cstheme="minorBidi"/>
                <w:sz w:val="22"/>
                <w:szCs w:val="22"/>
              </w:rPr>
              <w:t xml:space="preserve"> </w:t>
            </w:r>
            <w:proofErr w:type="spellStart"/>
            <w:r w:rsidR="00DC57D9" w:rsidRPr="00FE454A">
              <w:rPr>
                <w:rFonts w:eastAsiaTheme="minorHAnsi" w:cstheme="minorBidi"/>
                <w:sz w:val="22"/>
                <w:szCs w:val="22"/>
              </w:rPr>
              <w:t>légère</w:t>
            </w:r>
            <w:proofErr w:type="spellEnd"/>
            <w:r w:rsidR="00DC57D9" w:rsidRPr="00FE454A">
              <w:rPr>
                <w:rFonts w:eastAsiaTheme="minorHAnsi" w:cstheme="minorBidi"/>
                <w:sz w:val="22"/>
                <w:szCs w:val="22"/>
              </w:rPr>
              <w:t>.</w:t>
            </w:r>
          </w:p>
        </w:tc>
      </w:tr>
      <w:tr w:rsidR="008A1F21" w:rsidRPr="00E9242B" w:rsidTr="00E653C9">
        <w:tc>
          <w:tcPr>
            <w:tcW w:w="846" w:type="dxa"/>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MC10</w:t>
            </w:r>
          </w:p>
        </w:tc>
        <w:tc>
          <w:tcPr>
            <w:tcW w:w="2410" w:type="dxa"/>
          </w:tcPr>
          <w:p w:rsidR="008A1F21" w:rsidRPr="00FE454A" w:rsidRDefault="008A1F21" w:rsidP="00E653C9">
            <w:pPr>
              <w:jc w:val="left"/>
              <w:rPr>
                <w:rFonts w:eastAsiaTheme="minorHAnsi" w:cstheme="minorBidi"/>
                <w:sz w:val="22"/>
                <w:szCs w:val="22"/>
              </w:rPr>
            </w:pPr>
            <w:r w:rsidRPr="00FE454A">
              <w:rPr>
                <w:rFonts w:eastAsiaTheme="minorHAnsi" w:cstheme="minorBidi"/>
                <w:sz w:val="22"/>
                <w:szCs w:val="22"/>
              </w:rPr>
              <w:t xml:space="preserve">Plan </w:t>
            </w:r>
            <w:proofErr w:type="spellStart"/>
            <w:r w:rsidRPr="00FE454A">
              <w:rPr>
                <w:rFonts w:eastAsiaTheme="minorHAnsi" w:cstheme="minorBidi"/>
                <w:sz w:val="22"/>
                <w:szCs w:val="22"/>
              </w:rPr>
              <w:t>d’action</w:t>
            </w:r>
            <w:proofErr w:type="spellEnd"/>
            <w:r w:rsidRPr="00FE454A">
              <w:rPr>
                <w:rFonts w:eastAsiaTheme="minorHAnsi" w:cstheme="minorBidi"/>
                <w:sz w:val="22"/>
                <w:szCs w:val="22"/>
              </w:rPr>
              <w:t xml:space="preserve"> </w:t>
            </w:r>
            <w:proofErr w:type="spellStart"/>
            <w:r w:rsidRPr="00FE454A">
              <w:rPr>
                <w:rFonts w:eastAsiaTheme="minorHAnsi" w:cstheme="minorBidi"/>
                <w:sz w:val="22"/>
                <w:szCs w:val="22"/>
              </w:rPr>
              <w:t>agroenvironnemental</w:t>
            </w:r>
            <w:proofErr w:type="spellEnd"/>
          </w:p>
        </w:tc>
        <w:tc>
          <w:tcPr>
            <w:tcW w:w="5953" w:type="dxa"/>
          </w:tcPr>
          <w:p w:rsidR="008A1F21" w:rsidRPr="00057CAF" w:rsidRDefault="008A1F21" w:rsidP="00E653C9">
            <w:pPr>
              <w:rPr>
                <w:rFonts w:eastAsiaTheme="minorHAnsi" w:cstheme="minorBidi"/>
                <w:sz w:val="22"/>
                <w:szCs w:val="22"/>
                <w:lang w:val="fr-FR"/>
              </w:rPr>
            </w:pPr>
            <w:r w:rsidRPr="00057CAF">
              <w:rPr>
                <w:rFonts w:eastAsiaTheme="minorHAnsi" w:cstheme="minorBidi"/>
                <w:sz w:val="22"/>
                <w:szCs w:val="22"/>
                <w:lang w:val="fr-FR"/>
              </w:rPr>
              <w:t>Non financé par le FEADER, peu mis en œuvre, mais utile à la réflexion et à des mesures innovantes.</w:t>
            </w:r>
          </w:p>
        </w:tc>
      </w:tr>
      <w:tr w:rsidR="008A1F21" w:rsidRPr="00FE454A" w:rsidTr="00E653C9">
        <w:tc>
          <w:tcPr>
            <w:tcW w:w="846" w:type="dxa"/>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MB11</w:t>
            </w:r>
          </w:p>
        </w:tc>
        <w:tc>
          <w:tcPr>
            <w:tcW w:w="2410" w:type="dxa"/>
          </w:tcPr>
          <w:p w:rsidR="008A1F21" w:rsidRPr="00FE454A" w:rsidRDefault="008A1F21" w:rsidP="00E653C9">
            <w:pPr>
              <w:rPr>
                <w:rFonts w:eastAsiaTheme="minorHAnsi" w:cstheme="minorBidi"/>
                <w:sz w:val="22"/>
                <w:szCs w:val="22"/>
              </w:rPr>
            </w:pPr>
            <w:r w:rsidRPr="00FE454A">
              <w:rPr>
                <w:rFonts w:eastAsiaTheme="minorHAnsi" w:cstheme="minorBidi"/>
                <w:sz w:val="22"/>
                <w:szCs w:val="22"/>
              </w:rPr>
              <w:t xml:space="preserve">Races locales </w:t>
            </w:r>
            <w:proofErr w:type="spellStart"/>
            <w:r w:rsidRPr="00FE454A">
              <w:rPr>
                <w:rFonts w:eastAsiaTheme="minorHAnsi" w:cstheme="minorBidi"/>
                <w:sz w:val="22"/>
                <w:szCs w:val="22"/>
              </w:rPr>
              <w:t>menacées</w:t>
            </w:r>
            <w:proofErr w:type="spellEnd"/>
            <w:r w:rsidRPr="00FE454A">
              <w:rPr>
                <w:rFonts w:eastAsiaTheme="minorHAnsi" w:cstheme="minorBidi"/>
                <w:sz w:val="22"/>
                <w:szCs w:val="22"/>
              </w:rPr>
              <w:t xml:space="preserve"> </w:t>
            </w:r>
          </w:p>
        </w:tc>
        <w:tc>
          <w:tcPr>
            <w:tcW w:w="5953" w:type="dxa"/>
          </w:tcPr>
          <w:p w:rsidR="008A1F21" w:rsidRPr="00FE454A" w:rsidRDefault="008A1F21" w:rsidP="00E653C9">
            <w:pPr>
              <w:rPr>
                <w:rFonts w:eastAsiaTheme="minorHAnsi" w:cstheme="minorBidi"/>
                <w:sz w:val="22"/>
                <w:szCs w:val="22"/>
              </w:rPr>
            </w:pPr>
          </w:p>
        </w:tc>
      </w:tr>
    </w:tbl>
    <w:p w:rsidR="00A3455A" w:rsidRDefault="00A3455A" w:rsidP="008A1F21">
      <w:pPr>
        <w:rPr>
          <w:rFonts w:eastAsiaTheme="minorHAnsi" w:cstheme="minorBidi"/>
          <w:szCs w:val="22"/>
        </w:rPr>
      </w:pPr>
    </w:p>
    <w:p w:rsidR="00A3455A" w:rsidRDefault="00A3455A">
      <w:pPr>
        <w:spacing w:after="160" w:line="259" w:lineRule="auto"/>
        <w:jc w:val="left"/>
        <w:rPr>
          <w:rFonts w:eastAsiaTheme="minorHAnsi" w:cstheme="minorBidi"/>
          <w:szCs w:val="22"/>
        </w:rPr>
      </w:pPr>
      <w:r>
        <w:rPr>
          <w:rFonts w:eastAsiaTheme="minorHAnsi" w:cstheme="minorBidi"/>
          <w:szCs w:val="22"/>
        </w:rPr>
        <w:br w:type="page"/>
      </w:r>
    </w:p>
    <w:p w:rsidR="00FE454A" w:rsidRDefault="00FE454A" w:rsidP="0050022D">
      <w:pPr>
        <w:pStyle w:val="Titre1"/>
        <w:sectPr w:rsidR="00FE454A" w:rsidSect="0050022D">
          <w:type w:val="oddPage"/>
          <w:pgSz w:w="11906" w:h="16838"/>
          <w:pgMar w:top="1417" w:right="1417" w:bottom="1417" w:left="1417" w:header="708" w:footer="708" w:gutter="0"/>
          <w:cols w:space="708"/>
          <w:docGrid w:linePitch="360"/>
        </w:sectPr>
      </w:pPr>
      <w:bookmarkStart w:id="134" w:name="_Toc11278983"/>
    </w:p>
    <w:p w:rsidR="00EB4CAC" w:rsidRPr="00B75D71" w:rsidRDefault="009C6968" w:rsidP="0050022D">
      <w:pPr>
        <w:pStyle w:val="Titre1"/>
        <w:rPr>
          <w:rFonts w:eastAsiaTheme="minorHAnsi" w:cstheme="minorHAnsi"/>
          <w:szCs w:val="22"/>
        </w:rPr>
      </w:pPr>
      <w:bookmarkStart w:id="135" w:name="_Toc25688800"/>
      <w:r>
        <w:lastRenderedPageBreak/>
        <w:t>Annexe 9</w:t>
      </w:r>
      <w:r w:rsidR="00EB4CAC" w:rsidRPr="008A1F21">
        <w:t xml:space="preserve">. </w:t>
      </w:r>
      <w:r w:rsidR="00EB4CAC">
        <w:t>Résultats d’enquête auprès d’agriculteurs sur la me</w:t>
      </w:r>
      <w:r w:rsidR="00EB4CAC" w:rsidRPr="008A1F21">
        <w:t>sure 10 : MAEC</w:t>
      </w:r>
      <w:bookmarkEnd w:id="134"/>
      <w:bookmarkEnd w:id="135"/>
      <w:r w:rsidR="00EB4CAC" w:rsidRPr="008A1F21">
        <w:t xml:space="preserve"> </w:t>
      </w:r>
    </w:p>
    <w:p w:rsidR="00EB4CAC" w:rsidRPr="00057CAF" w:rsidRDefault="00EB4CAC" w:rsidP="008C68D7">
      <w:pPr>
        <w:spacing w:after="160" w:line="259" w:lineRule="auto"/>
        <w:rPr>
          <w:rFonts w:eastAsiaTheme="minorHAnsi" w:cstheme="minorBidi"/>
          <w:szCs w:val="22"/>
          <w:lang w:val="fr-FR"/>
        </w:rPr>
      </w:pPr>
      <w:r w:rsidRPr="00057CAF">
        <w:rPr>
          <w:rFonts w:eastAsiaTheme="minorHAnsi"/>
          <w:lang w:val="fr-FR"/>
        </w:rPr>
        <w:t>L’enquête (menée en ligne début 2019) est adressée aux bénéficiaires d’aides à l’investissement et à l’installation</w:t>
      </w:r>
      <w:r w:rsidR="00526EEC" w:rsidRPr="00057CAF">
        <w:rPr>
          <w:rFonts w:eastAsiaTheme="minorHAnsi"/>
          <w:lang w:val="fr-FR"/>
        </w:rPr>
        <w:t>. Elle</w:t>
      </w:r>
      <w:r w:rsidRPr="00057CAF">
        <w:rPr>
          <w:rFonts w:eastAsiaTheme="minorHAnsi"/>
          <w:lang w:val="fr-FR"/>
        </w:rPr>
        <w:t xml:space="preserve"> porte concomitamment sur ces aspects et sur les MAEC. Seuls les aspects liés à l’environnement sont considérés ci-dessous. </w:t>
      </w:r>
    </w:p>
    <w:p w:rsidR="00EB4CAC" w:rsidRPr="00057CAF" w:rsidRDefault="008C68D7" w:rsidP="00EB4CAC">
      <w:pPr>
        <w:spacing w:after="160" w:line="259" w:lineRule="auto"/>
        <w:jc w:val="left"/>
        <w:rPr>
          <w:rFonts w:eastAsiaTheme="minorHAnsi" w:cstheme="minorBidi"/>
          <w:b/>
          <w:szCs w:val="22"/>
          <w:u w:val="single"/>
          <w:lang w:val="fr-FR"/>
        </w:rPr>
      </w:pPr>
      <w:r w:rsidRPr="00057CAF">
        <w:rPr>
          <w:rFonts w:eastAsiaTheme="minorHAnsi" w:cstheme="minorBidi"/>
          <w:b/>
          <w:szCs w:val="22"/>
          <w:u w:val="single"/>
          <w:lang w:val="fr-FR"/>
        </w:rPr>
        <w:t>Caractéristiques de l’é</w:t>
      </w:r>
      <w:r w:rsidR="00EB4CAC" w:rsidRPr="00057CAF">
        <w:rPr>
          <w:rFonts w:eastAsiaTheme="minorHAnsi" w:cstheme="minorBidi"/>
          <w:b/>
          <w:szCs w:val="22"/>
          <w:u w:val="single"/>
          <w:lang w:val="fr-FR"/>
        </w:rPr>
        <w:t>chantillon total (4 % des exploitations wallonnes, non aléatoire)</w:t>
      </w:r>
    </w:p>
    <w:tbl>
      <w:tblPr>
        <w:tblStyle w:val="Grilledutableau"/>
        <w:tblW w:w="0" w:type="auto"/>
        <w:tblLook w:val="04A0" w:firstRow="1" w:lastRow="0" w:firstColumn="1" w:lastColumn="0" w:noHBand="0" w:noVBand="1"/>
      </w:tblPr>
      <w:tblGrid>
        <w:gridCol w:w="2689"/>
        <w:gridCol w:w="3260"/>
        <w:gridCol w:w="3113"/>
      </w:tblGrid>
      <w:tr w:rsidR="00EB4CAC" w:rsidRPr="00EB4CAC" w:rsidTr="00FE454A">
        <w:tc>
          <w:tcPr>
            <w:tcW w:w="2689" w:type="dxa"/>
            <w:shd w:val="clear" w:color="auto" w:fill="A50021"/>
          </w:tcPr>
          <w:p w:rsidR="00EB4CAC" w:rsidRPr="00057CAF" w:rsidRDefault="00EB4CAC" w:rsidP="00EB4CAC">
            <w:pPr>
              <w:jc w:val="left"/>
              <w:rPr>
                <w:rFonts w:eastAsiaTheme="minorHAnsi" w:cstheme="minorBidi"/>
                <w:szCs w:val="22"/>
                <w:lang w:val="fr-FR"/>
              </w:rPr>
            </w:pPr>
          </w:p>
        </w:tc>
        <w:tc>
          <w:tcPr>
            <w:tcW w:w="3260" w:type="dxa"/>
            <w:shd w:val="clear" w:color="auto" w:fill="A50021"/>
          </w:tcPr>
          <w:p w:rsidR="00EB4CAC" w:rsidRPr="00EB4CAC" w:rsidRDefault="00EB4CAC" w:rsidP="00EB4CAC">
            <w:pPr>
              <w:jc w:val="left"/>
              <w:rPr>
                <w:rFonts w:eastAsiaTheme="minorHAnsi" w:cstheme="minorBidi"/>
                <w:szCs w:val="22"/>
              </w:rPr>
            </w:pPr>
            <w:proofErr w:type="spellStart"/>
            <w:r w:rsidRPr="00EB4CAC">
              <w:rPr>
                <w:rFonts w:eastAsiaTheme="minorHAnsi" w:cstheme="minorBidi"/>
                <w:szCs w:val="22"/>
              </w:rPr>
              <w:t>Echantillon</w:t>
            </w:r>
            <w:proofErr w:type="spellEnd"/>
          </w:p>
        </w:tc>
        <w:tc>
          <w:tcPr>
            <w:tcW w:w="3113" w:type="dxa"/>
            <w:shd w:val="clear" w:color="auto" w:fill="A50021"/>
          </w:tcPr>
          <w:p w:rsidR="00EB4CAC" w:rsidRPr="00EB4CAC" w:rsidRDefault="00EB4CAC" w:rsidP="00EB4CAC">
            <w:pPr>
              <w:jc w:val="left"/>
              <w:rPr>
                <w:rFonts w:eastAsiaTheme="minorHAnsi" w:cstheme="minorBidi"/>
                <w:szCs w:val="22"/>
              </w:rPr>
            </w:pPr>
            <w:r w:rsidRPr="00EB4CAC">
              <w:rPr>
                <w:rFonts w:eastAsiaTheme="minorHAnsi" w:cstheme="minorBidi"/>
                <w:szCs w:val="22"/>
              </w:rPr>
              <w:t>Wallonie</w:t>
            </w:r>
            <w:r w:rsidRPr="00EB4CAC">
              <w:rPr>
                <w:rFonts w:eastAsiaTheme="minorHAnsi" w:cstheme="minorBidi"/>
                <w:szCs w:val="22"/>
                <w:vertAlign w:val="superscript"/>
              </w:rPr>
              <w:footnoteReference w:id="9"/>
            </w:r>
          </w:p>
        </w:tc>
      </w:tr>
      <w:tr w:rsidR="00EB4CAC" w:rsidRPr="00EB4CAC" w:rsidTr="00EA11E1">
        <w:tc>
          <w:tcPr>
            <w:tcW w:w="2689" w:type="dxa"/>
          </w:tcPr>
          <w:p w:rsidR="00EB4CAC" w:rsidRPr="00EB4CAC" w:rsidRDefault="00EB4CAC" w:rsidP="00EB4CAC">
            <w:pPr>
              <w:jc w:val="left"/>
              <w:rPr>
                <w:rFonts w:eastAsiaTheme="minorHAnsi" w:cstheme="minorBidi"/>
                <w:szCs w:val="22"/>
              </w:rPr>
            </w:pPr>
            <w:proofErr w:type="spellStart"/>
            <w:r w:rsidRPr="00EB4CAC">
              <w:rPr>
                <w:rFonts w:eastAsiaTheme="minorHAnsi" w:cstheme="minorBidi"/>
                <w:szCs w:val="22"/>
              </w:rPr>
              <w:t>Nombre</w:t>
            </w:r>
            <w:proofErr w:type="spellEnd"/>
            <w:r w:rsidRPr="00EB4CAC">
              <w:rPr>
                <w:rFonts w:eastAsiaTheme="minorHAnsi" w:cstheme="minorBidi"/>
                <w:szCs w:val="22"/>
              </w:rPr>
              <w:t xml:space="preserve"> </w:t>
            </w:r>
            <w:proofErr w:type="spellStart"/>
            <w:r w:rsidRPr="00EB4CAC">
              <w:rPr>
                <w:rFonts w:eastAsiaTheme="minorHAnsi" w:cstheme="minorBidi"/>
                <w:szCs w:val="22"/>
              </w:rPr>
              <w:t>d’exploitations</w:t>
            </w:r>
            <w:proofErr w:type="spellEnd"/>
          </w:p>
        </w:tc>
        <w:tc>
          <w:tcPr>
            <w:tcW w:w="3260"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 xml:space="preserve">521 </w:t>
            </w:r>
            <w:proofErr w:type="spellStart"/>
            <w:r w:rsidRPr="00EB4CAC">
              <w:rPr>
                <w:rFonts w:eastAsiaTheme="minorHAnsi" w:cstheme="minorBidi"/>
                <w:szCs w:val="22"/>
              </w:rPr>
              <w:t>répondants</w:t>
            </w:r>
            <w:proofErr w:type="spellEnd"/>
          </w:p>
        </w:tc>
        <w:tc>
          <w:tcPr>
            <w:tcW w:w="3113"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12649</w:t>
            </w:r>
          </w:p>
        </w:tc>
      </w:tr>
      <w:tr w:rsidR="00EB4CAC" w:rsidRPr="00EB4CAC" w:rsidTr="00EA11E1">
        <w:tc>
          <w:tcPr>
            <w:tcW w:w="2689" w:type="dxa"/>
          </w:tcPr>
          <w:p w:rsidR="00EB4CAC" w:rsidRPr="00EB4CAC" w:rsidRDefault="00EB4CAC" w:rsidP="00EB4CAC">
            <w:pPr>
              <w:jc w:val="left"/>
              <w:rPr>
                <w:rFonts w:eastAsiaTheme="minorHAnsi" w:cstheme="minorBidi"/>
                <w:szCs w:val="22"/>
              </w:rPr>
            </w:pPr>
            <w:proofErr w:type="spellStart"/>
            <w:r w:rsidRPr="00EB4CAC">
              <w:rPr>
                <w:rFonts w:eastAsiaTheme="minorHAnsi" w:cstheme="minorBidi"/>
                <w:szCs w:val="22"/>
              </w:rPr>
              <w:t>Âge</w:t>
            </w:r>
            <w:proofErr w:type="spellEnd"/>
            <w:r w:rsidRPr="00EB4CAC">
              <w:rPr>
                <w:rFonts w:eastAsiaTheme="minorHAnsi" w:cstheme="minorBidi"/>
                <w:szCs w:val="22"/>
              </w:rPr>
              <w:t xml:space="preserve"> </w:t>
            </w:r>
            <w:proofErr w:type="spellStart"/>
            <w:r w:rsidRPr="00EB4CAC">
              <w:rPr>
                <w:rFonts w:eastAsiaTheme="minorHAnsi" w:cstheme="minorBidi"/>
                <w:szCs w:val="22"/>
              </w:rPr>
              <w:t>moyen</w:t>
            </w:r>
            <w:proofErr w:type="spellEnd"/>
          </w:p>
        </w:tc>
        <w:tc>
          <w:tcPr>
            <w:tcW w:w="3260"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41,7</w:t>
            </w:r>
          </w:p>
        </w:tc>
        <w:tc>
          <w:tcPr>
            <w:tcW w:w="3113" w:type="dxa"/>
          </w:tcPr>
          <w:p w:rsidR="00EB4CAC" w:rsidRPr="00EB4CAC" w:rsidRDefault="00EB4CAC" w:rsidP="00EB4CAC">
            <w:pPr>
              <w:jc w:val="left"/>
              <w:rPr>
                <w:rFonts w:eastAsiaTheme="minorHAnsi" w:cstheme="minorBidi"/>
                <w:szCs w:val="22"/>
              </w:rPr>
            </w:pPr>
          </w:p>
        </w:tc>
      </w:tr>
      <w:tr w:rsidR="00EB4CAC" w:rsidRPr="00EB4CAC" w:rsidTr="00EA11E1">
        <w:tc>
          <w:tcPr>
            <w:tcW w:w="2689" w:type="dxa"/>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Agés de 50 ans et plus</w:t>
            </w:r>
          </w:p>
        </w:tc>
        <w:tc>
          <w:tcPr>
            <w:tcW w:w="3260"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24,9%</w:t>
            </w:r>
          </w:p>
        </w:tc>
        <w:tc>
          <w:tcPr>
            <w:tcW w:w="3113"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69%</w:t>
            </w:r>
          </w:p>
        </w:tc>
      </w:tr>
      <w:tr w:rsidR="00EB4CAC" w:rsidRPr="00E9242B" w:rsidTr="00EA11E1">
        <w:tc>
          <w:tcPr>
            <w:tcW w:w="2689"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Proportion hommes</w:t>
            </w:r>
          </w:p>
        </w:tc>
        <w:tc>
          <w:tcPr>
            <w:tcW w:w="3260"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88,9%</w:t>
            </w:r>
          </w:p>
        </w:tc>
        <w:tc>
          <w:tcPr>
            <w:tcW w:w="3113" w:type="dxa"/>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89,7% chez les exploitants à temps plein</w:t>
            </w:r>
          </w:p>
        </w:tc>
      </w:tr>
      <w:tr w:rsidR="00EB4CAC" w:rsidRPr="00E9242B" w:rsidTr="00EA11E1">
        <w:tc>
          <w:tcPr>
            <w:tcW w:w="2689" w:type="dxa"/>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Répartition géographique (par province selon le code postal)</w:t>
            </w:r>
          </w:p>
        </w:tc>
        <w:tc>
          <w:tcPr>
            <w:tcW w:w="3260" w:type="dxa"/>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Luxembourg 26,4%, Liège 26,4%, Namur 21,7% ; Hainaut 19,9%, Brabant wallon 5,7% (en termes de nombre d’exploitations)</w:t>
            </w:r>
          </w:p>
        </w:tc>
        <w:tc>
          <w:tcPr>
            <w:tcW w:w="3113" w:type="dxa"/>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w:t>
            </w:r>
            <w:proofErr w:type="gramStart"/>
            <w:r w:rsidRPr="00057CAF">
              <w:rPr>
                <w:rFonts w:eastAsiaTheme="minorHAnsi" w:cstheme="minorBidi"/>
                <w:szCs w:val="22"/>
                <w:lang w:val="fr-FR"/>
              </w:rPr>
              <w:t>en</w:t>
            </w:r>
            <w:proofErr w:type="gramEnd"/>
            <w:r w:rsidRPr="00057CAF">
              <w:rPr>
                <w:rFonts w:eastAsiaTheme="minorHAnsi" w:cstheme="minorBidi"/>
                <w:szCs w:val="22"/>
                <w:lang w:val="fr-FR"/>
              </w:rPr>
              <w:t xml:space="preserve"> termes de SAU : 9% en Brabant wallon, 29% en Hainaut)</w:t>
            </w:r>
          </w:p>
        </w:tc>
      </w:tr>
      <w:tr w:rsidR="00EB4CAC" w:rsidRPr="00EB4CAC" w:rsidTr="00EA11E1">
        <w:tc>
          <w:tcPr>
            <w:tcW w:w="2689"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 xml:space="preserve">SAU </w:t>
            </w:r>
            <w:proofErr w:type="spellStart"/>
            <w:r w:rsidRPr="00EB4CAC">
              <w:rPr>
                <w:rFonts w:eastAsiaTheme="minorHAnsi" w:cstheme="minorBidi"/>
                <w:szCs w:val="22"/>
              </w:rPr>
              <w:t>moyenne</w:t>
            </w:r>
            <w:proofErr w:type="spellEnd"/>
          </w:p>
        </w:tc>
        <w:tc>
          <w:tcPr>
            <w:tcW w:w="3260"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96,3 ha</w:t>
            </w:r>
          </w:p>
        </w:tc>
        <w:tc>
          <w:tcPr>
            <w:tcW w:w="3113"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56,7 ha (2017)</w:t>
            </w:r>
          </w:p>
        </w:tc>
      </w:tr>
      <w:tr w:rsidR="00EB4CAC" w:rsidRPr="00EB4CAC" w:rsidTr="00EA11E1">
        <w:tc>
          <w:tcPr>
            <w:tcW w:w="2689" w:type="dxa"/>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Partie de l’exploitation en N2000</w:t>
            </w:r>
          </w:p>
        </w:tc>
        <w:tc>
          <w:tcPr>
            <w:tcW w:w="3260"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33,27%</w:t>
            </w:r>
          </w:p>
        </w:tc>
        <w:tc>
          <w:tcPr>
            <w:tcW w:w="3113" w:type="dxa"/>
          </w:tcPr>
          <w:p w:rsidR="00EB4CAC" w:rsidRPr="00EB4CAC" w:rsidRDefault="00EB4CAC" w:rsidP="00EB4CAC">
            <w:pPr>
              <w:jc w:val="left"/>
              <w:rPr>
                <w:rFonts w:eastAsiaTheme="minorHAnsi" w:cstheme="minorBidi"/>
                <w:szCs w:val="22"/>
              </w:rPr>
            </w:pPr>
          </w:p>
        </w:tc>
      </w:tr>
      <w:tr w:rsidR="00EB4CAC" w:rsidRPr="00EB4CAC" w:rsidTr="00EA11E1">
        <w:tc>
          <w:tcPr>
            <w:tcW w:w="2689" w:type="dxa"/>
          </w:tcPr>
          <w:p w:rsidR="00EB4CAC" w:rsidRPr="00EB4CAC" w:rsidRDefault="00EB4CAC" w:rsidP="00EB4CAC">
            <w:pPr>
              <w:jc w:val="left"/>
              <w:rPr>
                <w:rFonts w:eastAsiaTheme="minorHAnsi" w:cstheme="minorBidi"/>
                <w:szCs w:val="22"/>
              </w:rPr>
            </w:pPr>
            <w:proofErr w:type="spellStart"/>
            <w:r w:rsidRPr="00EB4CAC">
              <w:rPr>
                <w:rFonts w:eastAsiaTheme="minorHAnsi" w:cstheme="minorBidi"/>
                <w:szCs w:val="22"/>
              </w:rPr>
              <w:t>Nombre</w:t>
            </w:r>
            <w:proofErr w:type="spellEnd"/>
            <w:r w:rsidRPr="00EB4CAC">
              <w:rPr>
                <w:rFonts w:eastAsiaTheme="minorHAnsi" w:cstheme="minorBidi"/>
                <w:szCs w:val="22"/>
              </w:rPr>
              <w:t xml:space="preserve"> </w:t>
            </w:r>
            <w:proofErr w:type="spellStart"/>
            <w:r w:rsidRPr="00EB4CAC">
              <w:rPr>
                <w:rFonts w:eastAsiaTheme="minorHAnsi" w:cstheme="minorBidi"/>
                <w:szCs w:val="22"/>
              </w:rPr>
              <w:t>moyen</w:t>
            </w:r>
            <w:proofErr w:type="spellEnd"/>
            <w:r w:rsidRPr="00EB4CAC">
              <w:rPr>
                <w:rFonts w:eastAsiaTheme="minorHAnsi" w:cstheme="minorBidi"/>
                <w:szCs w:val="22"/>
              </w:rPr>
              <w:t xml:space="preserve"> de </w:t>
            </w:r>
            <w:proofErr w:type="spellStart"/>
            <w:r w:rsidRPr="00EB4CAC">
              <w:rPr>
                <w:rFonts w:eastAsiaTheme="minorHAnsi" w:cstheme="minorBidi"/>
                <w:szCs w:val="22"/>
              </w:rPr>
              <w:t>bovins</w:t>
            </w:r>
            <w:proofErr w:type="spellEnd"/>
            <w:r w:rsidRPr="00EB4CAC">
              <w:rPr>
                <w:rFonts w:eastAsiaTheme="minorHAnsi" w:cstheme="minorBidi"/>
                <w:szCs w:val="22"/>
                <w:vertAlign w:val="superscript"/>
              </w:rPr>
              <w:footnoteReference w:id="10"/>
            </w:r>
          </w:p>
        </w:tc>
        <w:tc>
          <w:tcPr>
            <w:tcW w:w="3260" w:type="dxa"/>
          </w:tcPr>
          <w:p w:rsidR="00EB4CAC" w:rsidRPr="00EB4CAC" w:rsidRDefault="00EB4CAC" w:rsidP="00EB4CAC">
            <w:pPr>
              <w:jc w:val="left"/>
              <w:rPr>
                <w:rFonts w:eastAsiaTheme="minorHAnsi" w:cstheme="minorBidi"/>
                <w:szCs w:val="22"/>
              </w:rPr>
            </w:pPr>
          </w:p>
        </w:tc>
        <w:tc>
          <w:tcPr>
            <w:tcW w:w="3113"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 xml:space="preserve">137 par exploitation </w:t>
            </w:r>
            <w:proofErr w:type="spellStart"/>
            <w:r w:rsidRPr="00EB4CAC">
              <w:rPr>
                <w:rFonts w:eastAsiaTheme="minorHAnsi" w:cstheme="minorBidi"/>
                <w:szCs w:val="22"/>
              </w:rPr>
              <w:t>détentrice</w:t>
            </w:r>
            <w:proofErr w:type="spellEnd"/>
          </w:p>
        </w:tc>
      </w:tr>
      <w:tr w:rsidR="00EB4CAC" w:rsidRPr="00EB4CAC" w:rsidTr="00EA11E1">
        <w:tc>
          <w:tcPr>
            <w:tcW w:w="2689"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OTE</w:t>
            </w:r>
          </w:p>
        </w:tc>
        <w:tc>
          <w:tcPr>
            <w:tcW w:w="3260" w:type="dxa"/>
          </w:tcPr>
          <w:p w:rsidR="00EB4CAC" w:rsidRPr="00EB4CAC" w:rsidRDefault="00EB4CAC" w:rsidP="00EB4CAC">
            <w:pPr>
              <w:jc w:val="left"/>
              <w:rPr>
                <w:rFonts w:eastAsiaTheme="minorHAnsi" w:cstheme="minorBidi"/>
                <w:szCs w:val="22"/>
              </w:rPr>
            </w:pPr>
          </w:p>
        </w:tc>
        <w:tc>
          <w:tcPr>
            <w:tcW w:w="3113" w:type="dxa"/>
          </w:tcPr>
          <w:p w:rsidR="00EB4CAC" w:rsidRPr="00EB4CAC" w:rsidRDefault="00EB4CAC" w:rsidP="00EB4CAC">
            <w:pPr>
              <w:jc w:val="left"/>
              <w:rPr>
                <w:rFonts w:eastAsiaTheme="minorHAnsi" w:cstheme="minorBidi"/>
                <w:szCs w:val="22"/>
              </w:rPr>
            </w:pPr>
          </w:p>
        </w:tc>
      </w:tr>
      <w:tr w:rsidR="00EB4CAC" w:rsidRPr="00EB4CAC" w:rsidTr="00EA11E1">
        <w:tc>
          <w:tcPr>
            <w:tcW w:w="2689"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Agriculture bio</w:t>
            </w:r>
          </w:p>
        </w:tc>
        <w:tc>
          <w:tcPr>
            <w:tcW w:w="3260"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 xml:space="preserve">13,82% à 100%, 7,29% </w:t>
            </w:r>
            <w:proofErr w:type="spellStart"/>
            <w:r w:rsidRPr="00EB4CAC">
              <w:rPr>
                <w:rFonts w:eastAsiaTheme="minorHAnsi" w:cstheme="minorBidi"/>
                <w:szCs w:val="22"/>
              </w:rPr>
              <w:t>partiellement</w:t>
            </w:r>
            <w:proofErr w:type="spellEnd"/>
          </w:p>
        </w:tc>
        <w:tc>
          <w:tcPr>
            <w:tcW w:w="3113"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 xml:space="preserve">10,4% </w:t>
            </w:r>
            <w:proofErr w:type="spellStart"/>
            <w:r w:rsidRPr="00EB4CAC">
              <w:rPr>
                <w:rFonts w:eastAsiaTheme="minorHAnsi" w:cstheme="minorBidi"/>
                <w:szCs w:val="22"/>
              </w:rPr>
              <w:t>en</w:t>
            </w:r>
            <w:proofErr w:type="spellEnd"/>
            <w:r w:rsidRPr="00EB4CAC">
              <w:rPr>
                <w:rFonts w:eastAsiaTheme="minorHAnsi" w:cstheme="minorBidi"/>
                <w:szCs w:val="22"/>
              </w:rPr>
              <w:t xml:space="preserve"> </w:t>
            </w:r>
            <w:proofErr w:type="spellStart"/>
            <w:r w:rsidRPr="00EB4CAC">
              <w:rPr>
                <w:rFonts w:eastAsiaTheme="minorHAnsi" w:cstheme="minorBidi"/>
                <w:szCs w:val="22"/>
              </w:rPr>
              <w:t>termes</w:t>
            </w:r>
            <w:proofErr w:type="spellEnd"/>
            <w:r w:rsidRPr="00EB4CAC">
              <w:rPr>
                <w:rFonts w:eastAsiaTheme="minorHAnsi" w:cstheme="minorBidi"/>
                <w:szCs w:val="22"/>
              </w:rPr>
              <w:t xml:space="preserve"> de SAU</w:t>
            </w:r>
          </w:p>
        </w:tc>
      </w:tr>
    </w:tbl>
    <w:p w:rsidR="00FE454A" w:rsidRDefault="00FE454A" w:rsidP="008C68D7">
      <w:pPr>
        <w:rPr>
          <w:rFonts w:eastAsiaTheme="minorHAnsi"/>
        </w:rPr>
      </w:pPr>
    </w:p>
    <w:p w:rsidR="008C68D7" w:rsidRPr="00057CAF" w:rsidRDefault="008C68D7" w:rsidP="008C68D7">
      <w:pPr>
        <w:rPr>
          <w:rFonts w:eastAsiaTheme="minorHAnsi"/>
          <w:lang w:val="fr-FR"/>
        </w:rPr>
      </w:pPr>
      <w:r w:rsidRPr="00057CAF">
        <w:rPr>
          <w:rFonts w:eastAsiaTheme="minorHAnsi"/>
          <w:lang w:val="fr-FR"/>
        </w:rPr>
        <w:t xml:space="preserve">L’échantillon est donc biaisé en faveur d’exploitations grandes et d’exploitants jeunes, le biais vers les jeunes étant logique vu le volet installation et la propension plus grande des jeunes à se projeter dans l’avenir (donc à investir), il pourrait également être liée l’accès à internet). </w:t>
      </w:r>
    </w:p>
    <w:p w:rsidR="00EB4CAC" w:rsidRPr="00057CAF" w:rsidRDefault="00EB4CAC" w:rsidP="008C68D7">
      <w:pPr>
        <w:spacing w:after="160" w:line="259" w:lineRule="auto"/>
        <w:jc w:val="left"/>
        <w:rPr>
          <w:rFonts w:eastAsiaTheme="minorHAnsi" w:cstheme="minorBidi"/>
          <w:szCs w:val="22"/>
          <w:u w:val="single"/>
          <w:lang w:val="fr-FR"/>
        </w:rPr>
      </w:pPr>
      <w:r w:rsidRPr="00057CAF">
        <w:rPr>
          <w:rFonts w:eastAsiaTheme="minorHAnsi" w:cstheme="minorBidi"/>
          <w:b/>
          <w:szCs w:val="22"/>
          <w:u w:val="single"/>
          <w:lang w:val="fr-FR"/>
        </w:rPr>
        <w:t>Taux général de participation aux MAE ou MAEC depuis 2011</w:t>
      </w:r>
      <w:r w:rsidRPr="00057CAF">
        <w:rPr>
          <w:rFonts w:eastAsiaTheme="minorHAnsi" w:cstheme="minorBidi"/>
          <w:szCs w:val="22"/>
          <w:u w:val="single"/>
          <w:lang w:val="fr-FR"/>
        </w:rPr>
        <w:t> : 62,5% (Q60, N=445)</w:t>
      </w:r>
    </w:p>
    <w:p w:rsidR="00EB4CAC" w:rsidRPr="00057CAF" w:rsidRDefault="00EB4CAC" w:rsidP="008C68D7">
      <w:pPr>
        <w:spacing w:after="160" w:line="259" w:lineRule="auto"/>
        <w:rPr>
          <w:rFonts w:eastAsiaTheme="minorHAnsi" w:cstheme="minorBidi"/>
          <w:szCs w:val="22"/>
          <w:lang w:val="fr-FR"/>
        </w:rPr>
      </w:pPr>
      <w:r w:rsidRPr="00057CAF">
        <w:rPr>
          <w:rFonts w:eastAsiaTheme="minorHAnsi" w:cstheme="minorBidi"/>
          <w:szCs w:val="22"/>
          <w:lang w:val="fr-FR"/>
        </w:rPr>
        <w:t>A titre de comparaison le taux moyen en 2017 est de 45% selon Walot (2018) ; il est possible que les non participants aient été plus nombreux que les participants à ne pas répondre à la question, ce qui biaise le pourcentage (62,5) à la hausse mais pas suffisamment pour expliquer l’écart</w:t>
      </w:r>
      <w:r w:rsidR="008C68D7" w:rsidRPr="00057CAF">
        <w:rPr>
          <w:rFonts w:eastAsiaTheme="minorHAnsi" w:cstheme="minorBidi"/>
          <w:szCs w:val="22"/>
          <w:lang w:val="fr-FR"/>
        </w:rPr>
        <w:t xml:space="preserve"> vu le nombre très élevé de répondants à cette question</w:t>
      </w:r>
      <w:r w:rsidRPr="00057CAF">
        <w:rPr>
          <w:rFonts w:eastAsiaTheme="minorHAnsi" w:cstheme="minorBidi"/>
          <w:szCs w:val="22"/>
          <w:lang w:val="fr-FR"/>
        </w:rPr>
        <w:t>.</w:t>
      </w:r>
      <w:r w:rsidR="008C68D7" w:rsidRPr="00057CAF">
        <w:rPr>
          <w:rFonts w:eastAsiaTheme="minorHAnsi" w:cstheme="minorBidi"/>
          <w:szCs w:val="22"/>
          <w:lang w:val="fr-FR"/>
        </w:rPr>
        <w:t xml:space="preserve"> Les agriculteurs enquêtés sont donc plutôt adeptes des MAEC, suggérant qu’il n’y a pas de contradiction entre dynamique d’investissements et agroenvironnement.</w:t>
      </w:r>
    </w:p>
    <w:p w:rsidR="00FE454A" w:rsidRPr="00057CAF" w:rsidRDefault="00FE454A" w:rsidP="00EB4CAC">
      <w:pPr>
        <w:spacing w:after="160" w:line="259" w:lineRule="auto"/>
        <w:jc w:val="left"/>
        <w:rPr>
          <w:rFonts w:eastAsiaTheme="minorHAnsi" w:cstheme="minorBidi"/>
          <w:b/>
          <w:szCs w:val="22"/>
          <w:lang w:val="fr-FR"/>
        </w:rPr>
      </w:pPr>
      <w:r w:rsidRPr="00057CAF">
        <w:rPr>
          <w:rFonts w:eastAsiaTheme="minorHAnsi" w:cstheme="minorBidi"/>
          <w:b/>
          <w:szCs w:val="22"/>
          <w:lang w:val="fr-FR"/>
        </w:rPr>
        <w:br w:type="page"/>
      </w:r>
    </w:p>
    <w:p w:rsidR="00EB4CAC" w:rsidRPr="00057CAF" w:rsidRDefault="00EB4CAC" w:rsidP="00EB4CAC">
      <w:pPr>
        <w:spacing w:after="160" w:line="259" w:lineRule="auto"/>
        <w:jc w:val="left"/>
        <w:rPr>
          <w:rFonts w:eastAsiaTheme="minorHAnsi" w:cstheme="minorBidi"/>
          <w:szCs w:val="22"/>
          <w:lang w:val="fr-FR"/>
        </w:rPr>
      </w:pPr>
      <w:r w:rsidRPr="00057CAF">
        <w:rPr>
          <w:rFonts w:eastAsiaTheme="minorHAnsi" w:cstheme="minorBidi"/>
          <w:b/>
          <w:szCs w:val="22"/>
          <w:lang w:val="fr-FR"/>
        </w:rPr>
        <w:lastRenderedPageBreak/>
        <w:t>Taux de participation aux MAE et MAEC individuelles</w:t>
      </w:r>
      <w:r w:rsidRPr="00057CAF">
        <w:rPr>
          <w:rFonts w:eastAsiaTheme="minorHAnsi" w:cstheme="minorBidi"/>
          <w:szCs w:val="22"/>
          <w:lang w:val="fr-FR"/>
        </w:rPr>
        <w:t xml:space="preserve"> (Q60, N=275)</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2"/>
        <w:gridCol w:w="1276"/>
        <w:gridCol w:w="1276"/>
        <w:gridCol w:w="1701"/>
        <w:gridCol w:w="1701"/>
      </w:tblGrid>
      <w:tr w:rsidR="00EB4CAC" w:rsidRPr="00EB4CAC" w:rsidTr="00FE454A">
        <w:trPr>
          <w:trHeight w:val="405"/>
        </w:trPr>
        <w:tc>
          <w:tcPr>
            <w:tcW w:w="2972" w:type="dxa"/>
            <w:shd w:val="clear" w:color="auto" w:fill="A50021"/>
            <w:tcMar>
              <w:top w:w="15" w:type="dxa"/>
              <w:left w:w="70" w:type="dxa"/>
              <w:bottom w:w="0" w:type="dxa"/>
              <w:right w:w="70" w:type="dxa"/>
            </w:tcMar>
            <w:vAlign w:val="center"/>
            <w:hideMark/>
          </w:tcPr>
          <w:p w:rsidR="00EB4CAC" w:rsidRPr="00EB4CAC" w:rsidRDefault="00EB4CAC" w:rsidP="00EB4CAC">
            <w:pPr>
              <w:jc w:val="center"/>
              <w:rPr>
                <w:rFonts w:eastAsiaTheme="minorHAnsi" w:cstheme="minorBidi"/>
                <w:szCs w:val="22"/>
                <w:lang w:val="en-US"/>
              </w:rPr>
            </w:pPr>
            <w:proofErr w:type="spellStart"/>
            <w:r w:rsidRPr="00EB4CAC">
              <w:rPr>
                <w:rFonts w:eastAsia="Calibri" w:cstheme="minorBidi"/>
                <w:szCs w:val="22"/>
                <w:lang w:val="en-US"/>
              </w:rPr>
              <w:t>Titre</w:t>
            </w:r>
            <w:proofErr w:type="spellEnd"/>
            <w:r w:rsidRPr="00EB4CAC">
              <w:rPr>
                <w:rFonts w:eastAsia="Calibri" w:cstheme="minorBidi"/>
                <w:szCs w:val="22"/>
                <w:lang w:val="en-US"/>
              </w:rPr>
              <w:t xml:space="preserve"> résumé</w:t>
            </w:r>
          </w:p>
        </w:tc>
        <w:tc>
          <w:tcPr>
            <w:tcW w:w="1276" w:type="dxa"/>
            <w:shd w:val="clear" w:color="auto" w:fill="A50021"/>
            <w:vAlign w:val="center"/>
          </w:tcPr>
          <w:p w:rsidR="00EB4CAC" w:rsidRPr="00EB4CAC" w:rsidRDefault="00EB4CAC" w:rsidP="00EB4CAC">
            <w:pPr>
              <w:jc w:val="center"/>
              <w:rPr>
                <w:rFonts w:eastAsia="Calibri" w:cstheme="minorBidi"/>
                <w:szCs w:val="22"/>
                <w:lang w:val="en-US"/>
              </w:rPr>
            </w:pPr>
            <w:proofErr w:type="spellStart"/>
            <w:r w:rsidRPr="00EB4CAC">
              <w:rPr>
                <w:rFonts w:eastAsia="Calibri" w:cstheme="minorBidi"/>
                <w:szCs w:val="22"/>
                <w:lang w:val="en-US"/>
              </w:rPr>
              <w:t>Ancienne</w:t>
            </w:r>
            <w:proofErr w:type="spellEnd"/>
            <w:r w:rsidRPr="00EB4CAC">
              <w:rPr>
                <w:rFonts w:eastAsia="Calibri" w:cstheme="minorBidi"/>
                <w:szCs w:val="22"/>
                <w:lang w:val="en-US"/>
              </w:rPr>
              <w:t xml:space="preserve"> MAE</w:t>
            </w:r>
          </w:p>
        </w:tc>
        <w:tc>
          <w:tcPr>
            <w:tcW w:w="1276" w:type="dxa"/>
            <w:shd w:val="clear" w:color="auto" w:fill="A50021"/>
            <w:vAlign w:val="center"/>
          </w:tcPr>
          <w:p w:rsidR="00EB4CAC" w:rsidRPr="00EB4CAC" w:rsidRDefault="00EB4CAC" w:rsidP="00EB4CAC">
            <w:pPr>
              <w:jc w:val="center"/>
              <w:rPr>
                <w:rFonts w:eastAsia="Calibri" w:cstheme="minorBidi"/>
                <w:szCs w:val="22"/>
              </w:rPr>
            </w:pPr>
            <w:r w:rsidRPr="00EB4CAC">
              <w:rPr>
                <w:rFonts w:eastAsiaTheme="minorHAnsi" w:cstheme="minorBidi"/>
                <w:szCs w:val="22"/>
                <w:lang w:val="en-US"/>
              </w:rPr>
              <w:t xml:space="preserve">Nouvelle MAEC </w:t>
            </w:r>
          </w:p>
        </w:tc>
        <w:tc>
          <w:tcPr>
            <w:tcW w:w="1701" w:type="dxa"/>
            <w:tcBorders>
              <w:bottom w:val="single" w:sz="4" w:space="0" w:color="auto"/>
            </w:tcBorders>
            <w:shd w:val="clear" w:color="auto" w:fill="A50021"/>
            <w:vAlign w:val="center"/>
          </w:tcPr>
          <w:p w:rsidR="00EB4CAC" w:rsidRPr="00EB4CAC" w:rsidRDefault="00EB4CAC" w:rsidP="00EB4CAC">
            <w:pPr>
              <w:jc w:val="center"/>
              <w:rPr>
                <w:rFonts w:eastAsia="Calibri" w:cstheme="minorBidi"/>
                <w:szCs w:val="22"/>
              </w:rPr>
            </w:pPr>
            <w:proofErr w:type="spellStart"/>
            <w:r w:rsidRPr="00EB4CAC">
              <w:rPr>
                <w:rFonts w:eastAsia="Calibri" w:cstheme="minorBidi"/>
                <w:szCs w:val="22"/>
              </w:rPr>
              <w:t>Taux</w:t>
            </w:r>
            <w:proofErr w:type="spellEnd"/>
            <w:r w:rsidRPr="00EB4CAC">
              <w:rPr>
                <w:rFonts w:eastAsia="Calibri" w:cstheme="minorBidi"/>
                <w:szCs w:val="22"/>
              </w:rPr>
              <w:t xml:space="preserve"> de participation</w:t>
            </w:r>
          </w:p>
          <w:p w:rsidR="00EB4CAC" w:rsidRPr="00EB4CAC" w:rsidRDefault="00EB4CAC" w:rsidP="00EB4CAC">
            <w:pPr>
              <w:jc w:val="center"/>
              <w:rPr>
                <w:rFonts w:eastAsia="Calibri" w:cstheme="minorBidi"/>
                <w:szCs w:val="22"/>
              </w:rPr>
            </w:pPr>
            <w:r w:rsidRPr="00EB4CAC">
              <w:rPr>
                <w:rFonts w:eastAsia="Calibri" w:cstheme="minorBidi"/>
                <w:szCs w:val="22"/>
              </w:rPr>
              <w:t xml:space="preserve">2011-13  </w:t>
            </w:r>
          </w:p>
        </w:tc>
        <w:tc>
          <w:tcPr>
            <w:tcW w:w="1701" w:type="dxa"/>
            <w:tcBorders>
              <w:bottom w:val="single" w:sz="4" w:space="0" w:color="auto"/>
            </w:tcBorders>
            <w:shd w:val="clear" w:color="auto" w:fill="A50021"/>
            <w:vAlign w:val="center"/>
          </w:tcPr>
          <w:p w:rsidR="00EB4CAC" w:rsidRPr="00EB4CAC" w:rsidRDefault="00EB4CAC" w:rsidP="00EB4CAC">
            <w:pPr>
              <w:jc w:val="center"/>
              <w:rPr>
                <w:rFonts w:eastAsia="Calibri" w:cstheme="minorBidi"/>
                <w:szCs w:val="22"/>
              </w:rPr>
            </w:pPr>
            <w:proofErr w:type="spellStart"/>
            <w:r w:rsidRPr="00EB4CAC">
              <w:rPr>
                <w:rFonts w:eastAsia="Calibri" w:cstheme="minorBidi"/>
                <w:szCs w:val="22"/>
              </w:rPr>
              <w:t>Taux</w:t>
            </w:r>
            <w:proofErr w:type="spellEnd"/>
            <w:r w:rsidRPr="00EB4CAC">
              <w:rPr>
                <w:rFonts w:eastAsia="Calibri" w:cstheme="minorBidi"/>
                <w:szCs w:val="22"/>
              </w:rPr>
              <w:t xml:space="preserve"> de participation </w:t>
            </w:r>
          </w:p>
          <w:p w:rsidR="00EB4CAC" w:rsidRPr="00EB4CAC" w:rsidRDefault="00EB4CAC" w:rsidP="00EB4CAC">
            <w:pPr>
              <w:jc w:val="center"/>
              <w:rPr>
                <w:rFonts w:eastAsia="Calibri" w:cstheme="minorBidi"/>
                <w:szCs w:val="22"/>
              </w:rPr>
            </w:pPr>
            <w:proofErr w:type="spellStart"/>
            <w:r w:rsidRPr="00EB4CAC">
              <w:rPr>
                <w:rFonts w:eastAsia="Calibri" w:cstheme="minorBidi"/>
                <w:szCs w:val="22"/>
              </w:rPr>
              <w:t>actuel</w:t>
            </w:r>
            <w:proofErr w:type="spellEnd"/>
            <w:r w:rsidRPr="00EB4CAC">
              <w:rPr>
                <w:rFonts w:eastAsia="Calibri" w:cstheme="minorBidi"/>
                <w:szCs w:val="22"/>
              </w:rPr>
              <w:t xml:space="preserve"> </w:t>
            </w:r>
          </w:p>
        </w:tc>
      </w:tr>
      <w:tr w:rsidR="00EB4CAC" w:rsidRPr="00EB4CAC" w:rsidTr="00EA11E1">
        <w:trPr>
          <w:trHeight w:val="405"/>
        </w:trPr>
        <w:tc>
          <w:tcPr>
            <w:tcW w:w="2972" w:type="dxa"/>
            <w:shd w:val="clear" w:color="auto" w:fill="E7E6E6" w:themeFill="background2"/>
            <w:tcMar>
              <w:top w:w="15" w:type="dxa"/>
              <w:left w:w="70" w:type="dxa"/>
              <w:bottom w:w="0" w:type="dxa"/>
              <w:right w:w="70" w:type="dxa"/>
            </w:tcMar>
            <w:vAlign w:val="center"/>
            <w:hideMark/>
          </w:tcPr>
          <w:p w:rsidR="00EB4CAC" w:rsidRPr="00EB4CAC" w:rsidRDefault="00EB4CAC" w:rsidP="00EB4CAC">
            <w:pPr>
              <w:jc w:val="left"/>
              <w:rPr>
                <w:rFonts w:eastAsiaTheme="minorHAnsi" w:cstheme="minorBidi"/>
                <w:szCs w:val="22"/>
              </w:rPr>
            </w:pPr>
            <w:proofErr w:type="spellStart"/>
            <w:r w:rsidRPr="00EB4CAC">
              <w:rPr>
                <w:rFonts w:eastAsia="Calibri" w:cstheme="minorBidi"/>
                <w:szCs w:val="22"/>
              </w:rPr>
              <w:t>Eléments</w:t>
            </w:r>
            <w:proofErr w:type="spellEnd"/>
            <w:r w:rsidRPr="00EB4CAC">
              <w:rPr>
                <w:rFonts w:eastAsia="Calibri" w:cstheme="minorBidi"/>
                <w:szCs w:val="22"/>
              </w:rPr>
              <w:t xml:space="preserve"> du </w:t>
            </w:r>
            <w:proofErr w:type="spellStart"/>
            <w:r w:rsidRPr="00EB4CAC">
              <w:rPr>
                <w:rFonts w:eastAsia="Calibri" w:cstheme="minorBidi"/>
                <w:szCs w:val="22"/>
              </w:rPr>
              <w:t>paysage</w:t>
            </w:r>
            <w:proofErr w:type="spellEnd"/>
          </w:p>
        </w:tc>
        <w:tc>
          <w:tcPr>
            <w:tcW w:w="1276" w:type="dxa"/>
            <w:shd w:val="clear" w:color="auto" w:fill="E7E6E6" w:themeFill="background2"/>
            <w:vAlign w:val="center"/>
          </w:tcPr>
          <w:p w:rsidR="00EB4CAC" w:rsidRPr="00EB4CAC" w:rsidRDefault="00EB4CAC" w:rsidP="00EB4CAC">
            <w:pPr>
              <w:ind w:left="57"/>
              <w:jc w:val="left"/>
              <w:rPr>
                <w:rFonts w:eastAsia="Calibri" w:cstheme="minorBidi"/>
                <w:szCs w:val="22"/>
              </w:rPr>
            </w:pPr>
            <w:r w:rsidRPr="00EB4CAC">
              <w:rPr>
                <w:rFonts w:eastAsia="Calibri" w:cstheme="minorBidi"/>
                <w:szCs w:val="22"/>
              </w:rPr>
              <w:t>MAE1</w:t>
            </w:r>
          </w:p>
        </w:tc>
        <w:tc>
          <w:tcPr>
            <w:tcW w:w="1276" w:type="dxa"/>
            <w:shd w:val="clear" w:color="auto" w:fill="E7E6E6" w:themeFill="background2"/>
            <w:vAlign w:val="center"/>
          </w:tcPr>
          <w:p w:rsidR="00EB4CAC" w:rsidRPr="00EB4CAC" w:rsidRDefault="00EB4CAC" w:rsidP="00EB4CAC">
            <w:pPr>
              <w:ind w:left="57"/>
              <w:jc w:val="left"/>
              <w:rPr>
                <w:rFonts w:eastAsia="Calibri" w:cstheme="minorBidi"/>
                <w:szCs w:val="22"/>
              </w:rPr>
            </w:pPr>
            <w:r w:rsidRPr="00EB4CAC">
              <w:rPr>
                <w:rFonts w:eastAsiaTheme="minorHAnsi" w:cstheme="minorBidi"/>
                <w:szCs w:val="22"/>
              </w:rPr>
              <w:t>MB1</w:t>
            </w:r>
          </w:p>
        </w:tc>
        <w:tc>
          <w:tcPr>
            <w:tcW w:w="1701" w:type="dxa"/>
            <w:tcBorders>
              <w:top w:val="single" w:sz="4" w:space="0" w:color="auto"/>
              <w:left w:val="nil"/>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58,18%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56,36%</w:t>
            </w:r>
          </w:p>
        </w:tc>
      </w:tr>
      <w:tr w:rsidR="00EB4CAC" w:rsidRPr="00EB4CAC" w:rsidTr="00EA11E1">
        <w:trPr>
          <w:trHeight w:val="405"/>
        </w:trPr>
        <w:tc>
          <w:tcPr>
            <w:tcW w:w="2972" w:type="dxa"/>
            <w:shd w:val="clear" w:color="auto" w:fill="E7E6E6" w:themeFill="background2"/>
            <w:tcMar>
              <w:top w:w="15" w:type="dxa"/>
              <w:left w:w="70" w:type="dxa"/>
              <w:bottom w:w="0" w:type="dxa"/>
              <w:right w:w="70" w:type="dxa"/>
            </w:tcMar>
            <w:vAlign w:val="center"/>
            <w:hideMark/>
          </w:tcPr>
          <w:p w:rsidR="00EB4CAC" w:rsidRPr="00EB4CAC" w:rsidRDefault="00EB4CAC" w:rsidP="00EB4CAC">
            <w:pPr>
              <w:jc w:val="left"/>
              <w:rPr>
                <w:rFonts w:eastAsiaTheme="minorHAnsi" w:cstheme="minorBidi"/>
                <w:szCs w:val="22"/>
                <w:lang w:val="en-US"/>
              </w:rPr>
            </w:pPr>
            <w:r w:rsidRPr="00EB4CAC">
              <w:rPr>
                <w:rFonts w:eastAsiaTheme="minorHAnsi" w:cstheme="minorBidi"/>
                <w:szCs w:val="22"/>
                <w:lang w:val="en-US"/>
              </w:rPr>
              <w:t xml:space="preserve">Prairie </w:t>
            </w:r>
            <w:r w:rsidRPr="00EB4CAC">
              <w:rPr>
                <w:rFonts w:eastAsiaTheme="minorHAnsi" w:cstheme="minorBidi"/>
                <w:szCs w:val="22"/>
              </w:rPr>
              <w:t>naturelle</w:t>
            </w:r>
          </w:p>
        </w:tc>
        <w:tc>
          <w:tcPr>
            <w:tcW w:w="1276" w:type="dxa"/>
            <w:shd w:val="clear" w:color="auto" w:fill="E7E6E6" w:themeFill="background2"/>
            <w:vAlign w:val="center"/>
          </w:tcPr>
          <w:p w:rsidR="00EB4CAC" w:rsidRPr="00EB4CAC" w:rsidRDefault="00EB4CAC" w:rsidP="00EB4CAC">
            <w:pPr>
              <w:ind w:left="57"/>
              <w:jc w:val="left"/>
              <w:rPr>
                <w:rFonts w:eastAsiaTheme="minorHAnsi" w:cstheme="minorBidi"/>
                <w:szCs w:val="22"/>
                <w:lang w:val="en-US"/>
              </w:rPr>
            </w:pPr>
            <w:r w:rsidRPr="00EB4CAC">
              <w:rPr>
                <w:rFonts w:eastAsiaTheme="minorHAnsi" w:cstheme="minorBidi"/>
                <w:szCs w:val="22"/>
                <w:lang w:val="en-US"/>
              </w:rPr>
              <w:t>MAE 2</w:t>
            </w:r>
          </w:p>
        </w:tc>
        <w:tc>
          <w:tcPr>
            <w:tcW w:w="1276" w:type="dxa"/>
            <w:shd w:val="clear" w:color="auto" w:fill="E7E6E6" w:themeFill="background2"/>
            <w:vAlign w:val="center"/>
          </w:tcPr>
          <w:p w:rsidR="00EB4CAC" w:rsidRPr="00EB4CAC" w:rsidRDefault="00EB4CAC" w:rsidP="00EB4CAC">
            <w:pPr>
              <w:ind w:left="57"/>
              <w:jc w:val="left"/>
              <w:rPr>
                <w:rFonts w:eastAsiaTheme="minorHAnsi" w:cstheme="minorBidi"/>
                <w:szCs w:val="22"/>
                <w:lang w:val="en-US"/>
              </w:rPr>
            </w:pPr>
            <w:r w:rsidRPr="00EB4CAC">
              <w:rPr>
                <w:rFonts w:eastAsiaTheme="minorHAnsi" w:cstheme="minorBidi"/>
                <w:szCs w:val="22"/>
                <w:lang w:val="en-US"/>
              </w:rPr>
              <w:t>MB2</w:t>
            </w:r>
          </w:p>
        </w:tc>
        <w:tc>
          <w:tcPr>
            <w:tcW w:w="1701" w:type="dxa"/>
            <w:tcBorders>
              <w:top w:val="single" w:sz="4" w:space="0" w:color="auto"/>
              <w:left w:val="nil"/>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19,64%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24,36%</w:t>
            </w:r>
          </w:p>
        </w:tc>
      </w:tr>
      <w:tr w:rsidR="00EB4CAC" w:rsidRPr="00EB4CAC" w:rsidTr="00EA11E1">
        <w:trPr>
          <w:trHeight w:val="405"/>
        </w:trPr>
        <w:tc>
          <w:tcPr>
            <w:tcW w:w="2972" w:type="dxa"/>
            <w:shd w:val="clear" w:color="auto" w:fill="E7E6E6" w:themeFill="background2"/>
            <w:tcMar>
              <w:top w:w="15" w:type="dxa"/>
              <w:left w:w="70" w:type="dxa"/>
              <w:bottom w:w="0" w:type="dxa"/>
              <w:right w:w="70" w:type="dxa"/>
            </w:tcMar>
            <w:vAlign w:val="center"/>
            <w:hideMark/>
          </w:tcPr>
          <w:p w:rsidR="00EB4CAC" w:rsidRPr="00EB4CAC" w:rsidRDefault="00EB4CAC" w:rsidP="00EB4CAC">
            <w:pPr>
              <w:jc w:val="left"/>
              <w:rPr>
                <w:rFonts w:eastAsiaTheme="minorHAnsi" w:cstheme="minorBidi"/>
                <w:szCs w:val="22"/>
              </w:rPr>
            </w:pPr>
            <w:proofErr w:type="spellStart"/>
            <w:r w:rsidRPr="00EB4CAC">
              <w:rPr>
                <w:rFonts w:eastAsiaTheme="minorHAnsi" w:cstheme="minorBidi"/>
                <w:szCs w:val="22"/>
              </w:rPr>
              <w:t>Tournière</w:t>
            </w:r>
            <w:proofErr w:type="spellEnd"/>
            <w:r w:rsidRPr="00EB4CAC">
              <w:rPr>
                <w:rFonts w:eastAsiaTheme="minorHAnsi" w:cstheme="minorBidi"/>
                <w:szCs w:val="22"/>
              </w:rPr>
              <w:t xml:space="preserve"> </w:t>
            </w:r>
            <w:proofErr w:type="spellStart"/>
            <w:r w:rsidRPr="00EB4CAC">
              <w:rPr>
                <w:rFonts w:eastAsiaTheme="minorHAnsi" w:cstheme="minorBidi"/>
                <w:szCs w:val="22"/>
              </w:rPr>
              <w:t>enherbée</w:t>
            </w:r>
            <w:proofErr w:type="spellEnd"/>
          </w:p>
        </w:tc>
        <w:tc>
          <w:tcPr>
            <w:tcW w:w="1276" w:type="dxa"/>
            <w:shd w:val="clear" w:color="auto" w:fill="E7E6E6" w:themeFill="background2"/>
            <w:vAlign w:val="center"/>
          </w:tcPr>
          <w:p w:rsidR="00EB4CAC" w:rsidRPr="00EB4CAC" w:rsidRDefault="00EB4CAC" w:rsidP="00EB4CAC">
            <w:pPr>
              <w:ind w:left="57"/>
              <w:jc w:val="left"/>
              <w:rPr>
                <w:rFonts w:eastAsiaTheme="minorHAnsi" w:cstheme="minorBidi"/>
                <w:szCs w:val="22"/>
                <w:lang w:val="en-US"/>
              </w:rPr>
            </w:pPr>
            <w:r w:rsidRPr="00EB4CAC">
              <w:rPr>
                <w:rFonts w:eastAsiaTheme="minorHAnsi" w:cstheme="minorBidi"/>
                <w:szCs w:val="22"/>
                <w:lang w:val="en-US"/>
              </w:rPr>
              <w:t>MAE 3a</w:t>
            </w:r>
          </w:p>
        </w:tc>
        <w:tc>
          <w:tcPr>
            <w:tcW w:w="1276" w:type="dxa"/>
            <w:shd w:val="clear" w:color="auto" w:fill="E7E6E6" w:themeFill="background2"/>
            <w:vAlign w:val="center"/>
          </w:tcPr>
          <w:p w:rsidR="00EB4CAC" w:rsidRPr="00EB4CAC" w:rsidRDefault="00EB4CAC" w:rsidP="00EB4CAC">
            <w:pPr>
              <w:ind w:left="57"/>
              <w:jc w:val="left"/>
              <w:rPr>
                <w:rFonts w:eastAsiaTheme="minorHAnsi" w:cstheme="minorBidi"/>
                <w:szCs w:val="22"/>
                <w:lang w:val="en-US"/>
              </w:rPr>
            </w:pPr>
            <w:r w:rsidRPr="00EB4CAC">
              <w:rPr>
                <w:rFonts w:eastAsiaTheme="minorHAnsi" w:cstheme="minorBidi"/>
                <w:szCs w:val="22"/>
                <w:lang w:val="en-US"/>
              </w:rPr>
              <w:t>MB5</w:t>
            </w:r>
          </w:p>
        </w:tc>
        <w:tc>
          <w:tcPr>
            <w:tcW w:w="1701" w:type="dxa"/>
            <w:tcBorders>
              <w:top w:val="single" w:sz="4" w:space="0" w:color="auto"/>
              <w:left w:val="nil"/>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33,45%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30,91%</w:t>
            </w:r>
          </w:p>
        </w:tc>
      </w:tr>
      <w:tr w:rsidR="00EB4CAC" w:rsidRPr="00EB4CAC" w:rsidTr="00EA11E1">
        <w:trPr>
          <w:trHeight w:val="405"/>
        </w:trPr>
        <w:tc>
          <w:tcPr>
            <w:tcW w:w="2972" w:type="dxa"/>
            <w:shd w:val="clear" w:color="auto" w:fill="E7E6E6" w:themeFill="background2"/>
            <w:tcMar>
              <w:top w:w="15" w:type="dxa"/>
              <w:left w:w="70" w:type="dxa"/>
              <w:bottom w:w="0" w:type="dxa"/>
              <w:right w:w="70" w:type="dxa"/>
            </w:tcMar>
            <w:vAlign w:val="center"/>
            <w:hideMark/>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Cultures extensives de céréales/culture favorable à l’environnement</w:t>
            </w:r>
          </w:p>
        </w:tc>
        <w:tc>
          <w:tcPr>
            <w:tcW w:w="1276" w:type="dxa"/>
            <w:shd w:val="clear" w:color="auto" w:fill="E7E6E6" w:themeFill="background2"/>
            <w:vAlign w:val="center"/>
          </w:tcPr>
          <w:p w:rsidR="00EB4CAC" w:rsidRPr="00EB4CAC" w:rsidRDefault="00EB4CAC" w:rsidP="00EB4CAC">
            <w:pPr>
              <w:ind w:left="57"/>
              <w:jc w:val="left"/>
              <w:rPr>
                <w:rFonts w:eastAsiaTheme="minorHAnsi" w:cstheme="minorBidi"/>
                <w:szCs w:val="22"/>
                <w:lang w:val="en-US"/>
              </w:rPr>
            </w:pPr>
            <w:r w:rsidRPr="00EB4CAC">
              <w:rPr>
                <w:rFonts w:eastAsiaTheme="minorHAnsi" w:cstheme="minorBidi"/>
                <w:szCs w:val="22"/>
                <w:lang w:val="en-US"/>
              </w:rPr>
              <w:t>MAE 5</w:t>
            </w:r>
          </w:p>
        </w:tc>
        <w:tc>
          <w:tcPr>
            <w:tcW w:w="1276" w:type="dxa"/>
            <w:shd w:val="clear" w:color="auto" w:fill="E7E6E6" w:themeFill="background2"/>
            <w:vAlign w:val="center"/>
          </w:tcPr>
          <w:p w:rsidR="00EB4CAC" w:rsidRPr="00EB4CAC" w:rsidRDefault="00EB4CAC" w:rsidP="00EB4CAC">
            <w:pPr>
              <w:ind w:left="57"/>
              <w:jc w:val="left"/>
              <w:rPr>
                <w:rFonts w:eastAsiaTheme="minorHAnsi" w:cstheme="minorBidi"/>
                <w:szCs w:val="22"/>
                <w:lang w:val="en-US"/>
              </w:rPr>
            </w:pPr>
            <w:r w:rsidRPr="00EB4CAC">
              <w:rPr>
                <w:rFonts w:eastAsiaTheme="minorHAnsi" w:cstheme="minorBidi"/>
                <w:szCs w:val="22"/>
                <w:lang w:val="en-US"/>
              </w:rPr>
              <w:t>MB6</w:t>
            </w:r>
          </w:p>
        </w:tc>
        <w:tc>
          <w:tcPr>
            <w:tcW w:w="1701" w:type="dxa"/>
            <w:tcBorders>
              <w:top w:val="single" w:sz="4" w:space="0" w:color="auto"/>
              <w:left w:val="nil"/>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6,55%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7,64%</w:t>
            </w:r>
          </w:p>
        </w:tc>
      </w:tr>
      <w:tr w:rsidR="00EB4CAC" w:rsidRPr="00EB4CAC" w:rsidTr="00EA11E1">
        <w:trPr>
          <w:trHeight w:val="405"/>
        </w:trPr>
        <w:tc>
          <w:tcPr>
            <w:tcW w:w="2972" w:type="dxa"/>
            <w:shd w:val="clear" w:color="auto" w:fill="E7E6E6" w:themeFill="background2"/>
            <w:tcMar>
              <w:top w:w="15" w:type="dxa"/>
              <w:left w:w="70" w:type="dxa"/>
              <w:bottom w:w="0" w:type="dxa"/>
              <w:right w:w="70" w:type="dxa"/>
            </w:tcMar>
            <w:vAlign w:val="center"/>
            <w:hideMark/>
          </w:tcPr>
          <w:p w:rsidR="00EB4CAC" w:rsidRPr="00EB4CAC" w:rsidRDefault="00EB4CAC" w:rsidP="00EB4CAC">
            <w:pPr>
              <w:jc w:val="left"/>
              <w:rPr>
                <w:rFonts w:eastAsiaTheme="minorHAnsi" w:cstheme="minorBidi"/>
                <w:szCs w:val="22"/>
              </w:rPr>
            </w:pPr>
            <w:r w:rsidRPr="00EB4CAC">
              <w:rPr>
                <w:rFonts w:eastAsiaTheme="minorHAnsi" w:cstheme="minorBidi"/>
                <w:szCs w:val="22"/>
              </w:rPr>
              <w:t xml:space="preserve">Races locales </w:t>
            </w:r>
            <w:proofErr w:type="spellStart"/>
            <w:r w:rsidRPr="00EB4CAC">
              <w:rPr>
                <w:rFonts w:eastAsiaTheme="minorHAnsi" w:cstheme="minorBidi"/>
                <w:szCs w:val="22"/>
              </w:rPr>
              <w:t>menacées</w:t>
            </w:r>
            <w:proofErr w:type="spellEnd"/>
          </w:p>
        </w:tc>
        <w:tc>
          <w:tcPr>
            <w:tcW w:w="1276" w:type="dxa"/>
            <w:shd w:val="clear" w:color="auto" w:fill="E7E6E6" w:themeFill="background2"/>
            <w:vAlign w:val="center"/>
          </w:tcPr>
          <w:p w:rsidR="00EB4CAC" w:rsidRPr="00EB4CAC" w:rsidRDefault="00EB4CAC" w:rsidP="00EB4CAC">
            <w:pPr>
              <w:ind w:left="57"/>
              <w:jc w:val="left"/>
              <w:rPr>
                <w:rFonts w:eastAsiaTheme="minorHAnsi" w:cstheme="minorBidi"/>
                <w:szCs w:val="22"/>
                <w:lang w:val="en-US"/>
              </w:rPr>
            </w:pPr>
            <w:r w:rsidRPr="00EB4CAC">
              <w:rPr>
                <w:rFonts w:eastAsiaTheme="minorHAnsi" w:cstheme="minorBidi"/>
                <w:szCs w:val="22"/>
                <w:lang w:val="en-US"/>
              </w:rPr>
              <w:t>MAE 6</w:t>
            </w:r>
          </w:p>
        </w:tc>
        <w:tc>
          <w:tcPr>
            <w:tcW w:w="1276" w:type="dxa"/>
            <w:shd w:val="clear" w:color="auto" w:fill="E7E6E6" w:themeFill="background2"/>
            <w:vAlign w:val="center"/>
          </w:tcPr>
          <w:p w:rsidR="00EB4CAC" w:rsidRPr="00EB4CAC" w:rsidRDefault="00EB4CAC" w:rsidP="00EB4CAC">
            <w:pPr>
              <w:ind w:left="57"/>
              <w:jc w:val="left"/>
              <w:rPr>
                <w:rFonts w:eastAsiaTheme="minorHAnsi" w:cstheme="minorBidi"/>
                <w:szCs w:val="22"/>
                <w:lang w:val="en-US"/>
              </w:rPr>
            </w:pPr>
            <w:r w:rsidRPr="00EB4CAC">
              <w:rPr>
                <w:rFonts w:eastAsiaTheme="minorHAnsi" w:cstheme="minorBidi"/>
                <w:szCs w:val="22"/>
                <w:lang w:val="en-US"/>
              </w:rPr>
              <w:t>MB11</w:t>
            </w:r>
          </w:p>
        </w:tc>
        <w:tc>
          <w:tcPr>
            <w:tcW w:w="1701" w:type="dxa"/>
            <w:tcBorders>
              <w:top w:val="single" w:sz="4" w:space="0" w:color="auto"/>
              <w:left w:val="nil"/>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7,27%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8,00%</w:t>
            </w:r>
          </w:p>
        </w:tc>
      </w:tr>
      <w:tr w:rsidR="00EB4CAC" w:rsidRPr="00EB4CAC" w:rsidTr="00EA11E1">
        <w:trPr>
          <w:trHeight w:val="405"/>
        </w:trPr>
        <w:tc>
          <w:tcPr>
            <w:tcW w:w="2972" w:type="dxa"/>
            <w:shd w:val="clear" w:color="auto" w:fill="E7E6E6" w:themeFill="background2"/>
            <w:tcMar>
              <w:top w:w="15" w:type="dxa"/>
              <w:left w:w="70" w:type="dxa"/>
              <w:bottom w:w="0" w:type="dxa"/>
              <w:right w:w="70" w:type="dxa"/>
            </w:tcMar>
            <w:vAlign w:val="center"/>
            <w:hideMark/>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Maintien de faibles charges en bétail/autonomie fourragère</w:t>
            </w:r>
          </w:p>
        </w:tc>
        <w:tc>
          <w:tcPr>
            <w:tcW w:w="1276" w:type="dxa"/>
            <w:shd w:val="clear" w:color="auto" w:fill="E7E6E6" w:themeFill="background2"/>
            <w:vAlign w:val="center"/>
          </w:tcPr>
          <w:p w:rsidR="00EB4CAC" w:rsidRPr="00EB4CAC" w:rsidRDefault="00EB4CAC" w:rsidP="00EB4CAC">
            <w:pPr>
              <w:ind w:left="57"/>
              <w:jc w:val="left"/>
              <w:rPr>
                <w:rFonts w:eastAsiaTheme="minorHAnsi" w:cstheme="minorBidi"/>
                <w:szCs w:val="22"/>
              </w:rPr>
            </w:pPr>
            <w:r w:rsidRPr="00EB4CAC">
              <w:rPr>
                <w:rFonts w:eastAsiaTheme="minorHAnsi" w:cstheme="minorBidi"/>
                <w:szCs w:val="22"/>
                <w:lang w:val="en-US"/>
              </w:rPr>
              <w:t>MAE 7</w:t>
            </w:r>
          </w:p>
        </w:tc>
        <w:tc>
          <w:tcPr>
            <w:tcW w:w="1276" w:type="dxa"/>
            <w:shd w:val="clear" w:color="auto" w:fill="E7E6E6" w:themeFill="background2"/>
            <w:vAlign w:val="center"/>
          </w:tcPr>
          <w:p w:rsidR="00EB4CAC" w:rsidRPr="00EB4CAC" w:rsidRDefault="00EB4CAC" w:rsidP="00EB4CAC">
            <w:pPr>
              <w:ind w:left="57"/>
              <w:jc w:val="left"/>
              <w:rPr>
                <w:rFonts w:eastAsiaTheme="minorHAnsi" w:cstheme="minorBidi"/>
                <w:szCs w:val="22"/>
                <w:lang w:val="en-US"/>
              </w:rPr>
            </w:pPr>
            <w:r w:rsidRPr="00EB4CAC">
              <w:rPr>
                <w:rFonts w:eastAsiaTheme="minorHAnsi" w:cstheme="minorBidi"/>
                <w:szCs w:val="22"/>
                <w:lang w:val="en-US"/>
              </w:rPr>
              <w:t>MB9</w:t>
            </w:r>
          </w:p>
        </w:tc>
        <w:tc>
          <w:tcPr>
            <w:tcW w:w="1701" w:type="dxa"/>
            <w:tcBorders>
              <w:top w:val="single" w:sz="4" w:space="0" w:color="auto"/>
              <w:left w:val="nil"/>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7,27%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14,18%</w:t>
            </w:r>
          </w:p>
        </w:tc>
      </w:tr>
      <w:tr w:rsidR="00EB4CAC" w:rsidRPr="00EB4CAC" w:rsidTr="00EA11E1">
        <w:trPr>
          <w:trHeight w:val="405"/>
        </w:trPr>
        <w:tc>
          <w:tcPr>
            <w:tcW w:w="2972" w:type="dxa"/>
            <w:shd w:val="clear" w:color="auto" w:fill="E7E6E6" w:themeFill="background2"/>
            <w:tcMar>
              <w:top w:w="15" w:type="dxa"/>
              <w:left w:w="70" w:type="dxa"/>
              <w:bottom w:w="0" w:type="dxa"/>
              <w:right w:w="70" w:type="dxa"/>
            </w:tcMar>
            <w:vAlign w:val="center"/>
            <w:hideMark/>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Prairie de haute valeur biologique</w:t>
            </w:r>
          </w:p>
        </w:tc>
        <w:tc>
          <w:tcPr>
            <w:tcW w:w="1276" w:type="dxa"/>
            <w:shd w:val="clear" w:color="auto" w:fill="E7E6E6" w:themeFill="background2"/>
            <w:vAlign w:val="center"/>
          </w:tcPr>
          <w:p w:rsidR="00EB4CAC" w:rsidRPr="00EB4CAC" w:rsidRDefault="00EB4CAC" w:rsidP="00EB4CAC">
            <w:pPr>
              <w:ind w:left="57"/>
              <w:jc w:val="left"/>
              <w:rPr>
                <w:rFonts w:eastAsiaTheme="minorHAnsi" w:cstheme="minorBidi"/>
                <w:szCs w:val="22"/>
              </w:rPr>
            </w:pPr>
            <w:r w:rsidRPr="00EB4CAC">
              <w:rPr>
                <w:rFonts w:eastAsiaTheme="minorHAnsi" w:cstheme="minorBidi"/>
                <w:szCs w:val="22"/>
                <w:lang w:val="en-US"/>
              </w:rPr>
              <w:t>MAE 8</w:t>
            </w:r>
          </w:p>
        </w:tc>
        <w:tc>
          <w:tcPr>
            <w:tcW w:w="1276" w:type="dxa"/>
            <w:shd w:val="clear" w:color="auto" w:fill="E7E6E6" w:themeFill="background2"/>
            <w:vAlign w:val="center"/>
          </w:tcPr>
          <w:p w:rsidR="00EB4CAC" w:rsidRPr="00EB4CAC" w:rsidRDefault="00EB4CAC" w:rsidP="00EB4CAC">
            <w:pPr>
              <w:ind w:left="57"/>
              <w:jc w:val="left"/>
              <w:rPr>
                <w:rFonts w:eastAsiaTheme="minorHAnsi" w:cstheme="minorBidi"/>
                <w:szCs w:val="22"/>
                <w:lang w:val="en-US"/>
              </w:rPr>
            </w:pPr>
            <w:r w:rsidRPr="00EB4CAC">
              <w:rPr>
                <w:rFonts w:eastAsiaTheme="minorHAnsi" w:cstheme="minorBidi"/>
                <w:szCs w:val="22"/>
                <w:lang w:val="en-US"/>
              </w:rPr>
              <w:t>MC4</w:t>
            </w:r>
          </w:p>
        </w:tc>
        <w:tc>
          <w:tcPr>
            <w:tcW w:w="1701" w:type="dxa"/>
            <w:tcBorders>
              <w:top w:val="single" w:sz="4" w:space="0" w:color="auto"/>
              <w:left w:val="nil"/>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13,09%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25,09%</w:t>
            </w:r>
          </w:p>
        </w:tc>
      </w:tr>
      <w:tr w:rsidR="00EB4CAC" w:rsidRPr="00EB4CAC" w:rsidTr="00EA11E1">
        <w:trPr>
          <w:trHeight w:val="469"/>
        </w:trPr>
        <w:tc>
          <w:tcPr>
            <w:tcW w:w="2972" w:type="dxa"/>
            <w:shd w:val="clear" w:color="auto" w:fill="E7E6E6" w:themeFill="background2"/>
            <w:tcMar>
              <w:top w:w="15" w:type="dxa"/>
              <w:left w:w="70" w:type="dxa"/>
              <w:bottom w:w="0" w:type="dxa"/>
              <w:right w:w="70" w:type="dxa"/>
            </w:tcMar>
            <w:vAlign w:val="center"/>
          </w:tcPr>
          <w:p w:rsidR="00EB4CAC" w:rsidRPr="00EB4CAC" w:rsidRDefault="00EB4CAC" w:rsidP="00EB4CAC">
            <w:pPr>
              <w:jc w:val="left"/>
              <w:rPr>
                <w:rFonts w:eastAsiaTheme="minorHAnsi" w:cstheme="minorBidi"/>
                <w:szCs w:val="22"/>
              </w:rPr>
            </w:pPr>
            <w:proofErr w:type="spellStart"/>
            <w:r w:rsidRPr="00EB4CAC">
              <w:rPr>
                <w:rFonts w:eastAsiaTheme="minorHAnsi" w:cstheme="minorBidi"/>
                <w:szCs w:val="22"/>
              </w:rPr>
              <w:t>Bande</w:t>
            </w:r>
            <w:proofErr w:type="spellEnd"/>
            <w:r w:rsidRPr="00EB4CAC">
              <w:rPr>
                <w:rFonts w:eastAsiaTheme="minorHAnsi" w:cstheme="minorBidi"/>
                <w:szCs w:val="22"/>
              </w:rPr>
              <w:t xml:space="preserve"> </w:t>
            </w:r>
            <w:proofErr w:type="spellStart"/>
            <w:r w:rsidRPr="00EB4CAC">
              <w:rPr>
                <w:rFonts w:eastAsiaTheme="minorHAnsi" w:cstheme="minorBidi"/>
                <w:szCs w:val="22"/>
              </w:rPr>
              <w:t>ou</w:t>
            </w:r>
            <w:proofErr w:type="spellEnd"/>
            <w:r w:rsidRPr="00EB4CAC">
              <w:rPr>
                <w:rFonts w:eastAsiaTheme="minorHAnsi" w:cstheme="minorBidi"/>
                <w:szCs w:val="22"/>
              </w:rPr>
              <w:t xml:space="preserve"> </w:t>
            </w:r>
            <w:proofErr w:type="spellStart"/>
            <w:r w:rsidRPr="00EB4CAC">
              <w:rPr>
                <w:rFonts w:eastAsiaTheme="minorHAnsi" w:cstheme="minorBidi"/>
                <w:szCs w:val="22"/>
              </w:rPr>
              <w:t>parcelle</w:t>
            </w:r>
            <w:proofErr w:type="spellEnd"/>
            <w:r w:rsidRPr="00EB4CAC">
              <w:rPr>
                <w:rFonts w:eastAsiaTheme="minorHAnsi" w:cstheme="minorBidi"/>
                <w:szCs w:val="22"/>
              </w:rPr>
              <w:t xml:space="preserve"> </w:t>
            </w:r>
            <w:proofErr w:type="spellStart"/>
            <w:r w:rsidRPr="00EB4CAC">
              <w:rPr>
                <w:rFonts w:eastAsiaTheme="minorHAnsi" w:cstheme="minorBidi"/>
                <w:szCs w:val="22"/>
              </w:rPr>
              <w:t>aménagée</w:t>
            </w:r>
            <w:proofErr w:type="spellEnd"/>
          </w:p>
        </w:tc>
        <w:tc>
          <w:tcPr>
            <w:tcW w:w="1276" w:type="dxa"/>
            <w:shd w:val="clear" w:color="auto" w:fill="E7E6E6" w:themeFill="background2"/>
            <w:vAlign w:val="center"/>
          </w:tcPr>
          <w:p w:rsidR="00EB4CAC" w:rsidRPr="00EB4CAC" w:rsidRDefault="00EB4CAC" w:rsidP="00EB4CAC">
            <w:pPr>
              <w:ind w:left="57"/>
              <w:jc w:val="left"/>
              <w:rPr>
                <w:rFonts w:eastAsiaTheme="minorHAnsi" w:cstheme="minorBidi"/>
                <w:szCs w:val="22"/>
                <w:lang w:val="en-US"/>
              </w:rPr>
            </w:pPr>
            <w:r w:rsidRPr="00EB4CAC">
              <w:rPr>
                <w:rFonts w:eastAsiaTheme="minorHAnsi" w:cstheme="minorBidi"/>
                <w:szCs w:val="22"/>
                <w:lang w:val="en-US"/>
              </w:rPr>
              <w:t>MAE9</w:t>
            </w:r>
          </w:p>
        </w:tc>
        <w:tc>
          <w:tcPr>
            <w:tcW w:w="1276" w:type="dxa"/>
            <w:shd w:val="clear" w:color="auto" w:fill="E7E6E6" w:themeFill="background2"/>
            <w:vAlign w:val="center"/>
          </w:tcPr>
          <w:p w:rsidR="00EB4CAC" w:rsidRPr="00EB4CAC" w:rsidRDefault="00EB4CAC" w:rsidP="00EB4CAC">
            <w:pPr>
              <w:ind w:left="57"/>
              <w:jc w:val="left"/>
              <w:rPr>
                <w:rFonts w:eastAsiaTheme="minorHAnsi" w:cstheme="minorBidi"/>
                <w:szCs w:val="22"/>
                <w:lang w:val="en-US"/>
              </w:rPr>
            </w:pPr>
            <w:r w:rsidRPr="00EB4CAC">
              <w:rPr>
                <w:rFonts w:eastAsiaTheme="minorHAnsi" w:cstheme="minorBidi"/>
                <w:szCs w:val="22"/>
                <w:lang w:val="en-US"/>
              </w:rPr>
              <w:t>MC7, MC8</w:t>
            </w:r>
          </w:p>
        </w:tc>
        <w:tc>
          <w:tcPr>
            <w:tcW w:w="1701" w:type="dxa"/>
            <w:tcBorders>
              <w:top w:val="single" w:sz="4" w:space="0" w:color="auto"/>
              <w:left w:val="nil"/>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14,18%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4CAC" w:rsidRPr="00EB4CAC" w:rsidRDefault="00EB4CAC" w:rsidP="00EB4CAC">
            <w:pPr>
              <w:spacing w:after="160" w:line="259" w:lineRule="auto"/>
              <w:jc w:val="right"/>
              <w:rPr>
                <w:rFonts w:eastAsiaTheme="minorHAnsi" w:cstheme="minorBidi"/>
                <w:szCs w:val="22"/>
                <w:lang w:val="en-US"/>
              </w:rPr>
            </w:pPr>
            <w:r w:rsidRPr="00EB4CAC">
              <w:rPr>
                <w:rFonts w:eastAsiaTheme="minorHAnsi" w:cstheme="minorBidi"/>
                <w:szCs w:val="22"/>
                <w:lang w:val="en-US"/>
              </w:rPr>
              <w:t>23,64%</w:t>
            </w:r>
          </w:p>
        </w:tc>
      </w:tr>
    </w:tbl>
    <w:p w:rsidR="00FE454A" w:rsidRDefault="00FE454A" w:rsidP="00AD2408">
      <w:pPr>
        <w:rPr>
          <w:rFonts w:eastAsiaTheme="minorHAnsi"/>
        </w:rPr>
      </w:pPr>
    </w:p>
    <w:p w:rsidR="00AD2408" w:rsidRPr="00057CAF" w:rsidRDefault="00AD2408" w:rsidP="00AD2408">
      <w:pPr>
        <w:rPr>
          <w:rFonts w:eastAsiaTheme="minorHAnsi"/>
          <w:lang w:val="fr-FR"/>
        </w:rPr>
      </w:pPr>
      <w:r w:rsidRPr="00057CAF">
        <w:rPr>
          <w:rFonts w:eastAsiaTheme="minorHAnsi"/>
          <w:lang w:val="fr-FR"/>
        </w:rPr>
        <w:t>Ainsi on constate une progression générale des MAEC, sauf MB1, éléments du paysage (moins rémunérés) et MB5 tournières enherbées (pour raisons diverses, la plus fréquente étant la mauvaise expérience passée).  Ces tendances sont conformes aux tendances générales indiquées par Walot (2018)</w:t>
      </w:r>
    </w:p>
    <w:p w:rsidR="00FE454A" w:rsidRPr="00057CAF" w:rsidRDefault="00FE454A" w:rsidP="00AD2408">
      <w:pPr>
        <w:rPr>
          <w:rFonts w:eastAsiaTheme="minorHAnsi"/>
          <w:lang w:val="fr-FR"/>
        </w:rPr>
      </w:pPr>
    </w:p>
    <w:p w:rsidR="00AD2408" w:rsidRPr="00057CAF" w:rsidRDefault="00EB4CAC" w:rsidP="00AD2408">
      <w:pPr>
        <w:rPr>
          <w:rFonts w:eastAsiaTheme="minorHAnsi"/>
          <w:lang w:val="fr-FR"/>
        </w:rPr>
      </w:pPr>
      <w:r w:rsidRPr="00057CAF">
        <w:rPr>
          <w:rFonts w:eastAsiaTheme="minorHAnsi"/>
          <w:lang w:val="fr-FR"/>
        </w:rPr>
        <w:t xml:space="preserve">Le taux d’abandon brut (proportion d’agriculteurs ayant encore la MAEC après avoir eu la MAE en 2011-2013) de MB1 est de 30% et celui de MB5 de 37%. </w:t>
      </w:r>
    </w:p>
    <w:p w:rsidR="00FE454A" w:rsidRPr="00057CAF" w:rsidRDefault="00FE454A" w:rsidP="00AD2408">
      <w:pPr>
        <w:rPr>
          <w:rFonts w:eastAsiaTheme="minorHAnsi"/>
          <w:lang w:val="fr-FR"/>
        </w:rPr>
      </w:pPr>
    </w:p>
    <w:p w:rsidR="00EB4CAC" w:rsidRPr="00057CAF" w:rsidRDefault="00EB4CAC" w:rsidP="00AD2408">
      <w:pPr>
        <w:rPr>
          <w:rFonts w:eastAsiaTheme="minorHAnsi"/>
          <w:lang w:val="fr-FR"/>
        </w:rPr>
      </w:pPr>
      <w:r w:rsidRPr="00057CAF">
        <w:rPr>
          <w:rFonts w:eastAsiaTheme="minorHAnsi"/>
          <w:lang w:val="fr-FR"/>
        </w:rPr>
        <w:t>Pour MC4 il est de 11%, ce qui n’est pas négligeable au vu de la croissance de cette MAEC et de la nécessité d’une gestion constante à long terme (mais la majorité des concernés disent continuer avec des pratiques influencées par les MAEC, sans préciser s’il s’agit bien de cette MAEC-là).</w:t>
      </w:r>
    </w:p>
    <w:p w:rsidR="00FE454A" w:rsidRPr="00057CAF" w:rsidRDefault="00FE454A" w:rsidP="00AD2408">
      <w:pPr>
        <w:rPr>
          <w:rFonts w:eastAsiaTheme="minorHAnsi"/>
          <w:lang w:val="fr-FR"/>
        </w:rPr>
      </w:pPr>
    </w:p>
    <w:p w:rsidR="00AD2408" w:rsidRPr="00057CAF" w:rsidRDefault="00AD2408" w:rsidP="00AD2408">
      <w:pPr>
        <w:rPr>
          <w:rFonts w:eastAsiaTheme="minorHAnsi"/>
          <w:lang w:val="fr-FR"/>
        </w:rPr>
      </w:pPr>
      <w:r w:rsidRPr="00057CAF">
        <w:rPr>
          <w:rFonts w:eastAsiaTheme="minorHAnsi"/>
          <w:lang w:val="fr-FR"/>
        </w:rPr>
        <w:t>Les éléments du paysage MB1 restent les MAEC les plus populaires.</w:t>
      </w:r>
    </w:p>
    <w:p w:rsidR="00FE454A" w:rsidRPr="00057CAF" w:rsidRDefault="00FE454A" w:rsidP="00AD2408">
      <w:pPr>
        <w:rPr>
          <w:rFonts w:eastAsiaTheme="minorHAnsi"/>
          <w:lang w:val="fr-FR"/>
        </w:rPr>
      </w:pPr>
    </w:p>
    <w:p w:rsidR="00EB4CAC" w:rsidRPr="00057CAF" w:rsidRDefault="00AD2408" w:rsidP="00AD2408">
      <w:pPr>
        <w:rPr>
          <w:rFonts w:eastAsiaTheme="minorHAnsi"/>
          <w:lang w:val="fr-FR"/>
        </w:rPr>
      </w:pPr>
      <w:r w:rsidRPr="00057CAF">
        <w:rPr>
          <w:rFonts w:eastAsiaTheme="minorHAnsi"/>
          <w:lang w:val="fr-FR"/>
        </w:rPr>
        <w:t>Les tournières font l’objet d’un turn-over important (adhésion par ceux qui n’en ont pas l’expérience, abandon par ceux qui la connaissent !)</w:t>
      </w:r>
    </w:p>
    <w:p w:rsidR="00FE454A" w:rsidRPr="00057CAF" w:rsidRDefault="00FE454A" w:rsidP="00AD2408">
      <w:pPr>
        <w:rPr>
          <w:rFonts w:eastAsiaTheme="minorHAnsi"/>
          <w:lang w:val="fr-FR"/>
        </w:rPr>
      </w:pPr>
    </w:p>
    <w:p w:rsidR="00EB4CAC" w:rsidRPr="00057CAF" w:rsidRDefault="00EB4CAC" w:rsidP="00EB4CAC">
      <w:pPr>
        <w:spacing w:after="160" w:line="259" w:lineRule="auto"/>
        <w:jc w:val="left"/>
        <w:rPr>
          <w:rFonts w:eastAsiaTheme="minorHAnsi" w:cstheme="minorBidi"/>
          <w:b/>
          <w:szCs w:val="22"/>
          <w:u w:val="single"/>
          <w:lang w:val="fr-FR"/>
        </w:rPr>
      </w:pPr>
      <w:r w:rsidRPr="00057CAF">
        <w:rPr>
          <w:rFonts w:eastAsiaTheme="minorHAnsi" w:cstheme="minorBidi"/>
          <w:b/>
          <w:szCs w:val="22"/>
          <w:u w:val="single"/>
          <w:lang w:val="fr-FR"/>
        </w:rPr>
        <w:t>Raisons de non renouvellement des MAE (Q61, N=94)</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701"/>
      </w:tblGrid>
      <w:tr w:rsidR="00EB4CAC" w:rsidRPr="00FE454A" w:rsidTr="00EA11E1">
        <w:trPr>
          <w:trHeight w:val="300"/>
        </w:trPr>
        <w:tc>
          <w:tcPr>
            <w:tcW w:w="7225" w:type="dxa"/>
            <w:shd w:val="clear" w:color="EAEAE8" w:fill="EAEAE8"/>
            <w:noWrap/>
            <w:vAlign w:val="bottom"/>
            <w:hideMark/>
          </w:tcPr>
          <w:p w:rsidR="00EB4CAC" w:rsidRPr="00057CAF" w:rsidRDefault="00EB4CAC" w:rsidP="00EB4CAC">
            <w:pPr>
              <w:jc w:val="left"/>
              <w:rPr>
                <w:rFonts w:cs="Arial"/>
                <w:color w:val="333333"/>
                <w:szCs w:val="22"/>
                <w:lang w:val="fr-FR"/>
              </w:rPr>
            </w:pPr>
            <w:r w:rsidRPr="00057CAF">
              <w:rPr>
                <w:rFonts w:cs="Arial"/>
                <w:color w:val="333333"/>
                <w:szCs w:val="22"/>
                <w:lang w:val="fr-FR"/>
              </w:rPr>
              <w:t xml:space="preserve">Expérience insatisfaisante lors de la mise en </w:t>
            </w:r>
            <w:r w:rsidR="00467012" w:rsidRPr="00057CAF">
              <w:rPr>
                <w:rFonts w:cs="Arial"/>
                <w:color w:val="333333"/>
                <w:szCs w:val="22"/>
                <w:lang w:val="fr-FR"/>
              </w:rPr>
              <w:t>œuvre</w:t>
            </w:r>
            <w:r w:rsidRPr="00057CAF">
              <w:rPr>
                <w:rFonts w:cs="Arial"/>
                <w:color w:val="333333"/>
                <w:szCs w:val="22"/>
                <w:lang w:val="fr-FR"/>
              </w:rPr>
              <w:t xml:space="preserve"> de la MAE </w:t>
            </w:r>
          </w:p>
        </w:tc>
        <w:tc>
          <w:tcPr>
            <w:tcW w:w="1701" w:type="dxa"/>
            <w:shd w:val="clear" w:color="auto" w:fill="auto"/>
            <w:noWrap/>
            <w:vAlign w:val="bottom"/>
            <w:hideMark/>
          </w:tcPr>
          <w:p w:rsidR="00EB4CAC" w:rsidRPr="00FE454A" w:rsidRDefault="00EB4CAC" w:rsidP="00EB4CAC">
            <w:pPr>
              <w:jc w:val="right"/>
              <w:rPr>
                <w:rFonts w:cs="Arial"/>
                <w:color w:val="333333"/>
                <w:szCs w:val="22"/>
              </w:rPr>
            </w:pPr>
            <w:r w:rsidRPr="00FE454A">
              <w:rPr>
                <w:rFonts w:cs="Arial"/>
                <w:color w:val="333333"/>
                <w:szCs w:val="22"/>
              </w:rPr>
              <w:t>23,40%</w:t>
            </w:r>
          </w:p>
        </w:tc>
      </w:tr>
      <w:tr w:rsidR="00EB4CAC" w:rsidRPr="00FE454A" w:rsidTr="00EA11E1">
        <w:trPr>
          <w:trHeight w:val="300"/>
        </w:trPr>
        <w:tc>
          <w:tcPr>
            <w:tcW w:w="7225" w:type="dxa"/>
            <w:shd w:val="clear" w:color="EAEAE8" w:fill="EAEAE8"/>
            <w:noWrap/>
            <w:vAlign w:val="bottom"/>
            <w:hideMark/>
          </w:tcPr>
          <w:p w:rsidR="00EB4CAC" w:rsidRPr="00057CAF" w:rsidRDefault="00EB4CAC" w:rsidP="00FA2001">
            <w:pPr>
              <w:jc w:val="left"/>
              <w:rPr>
                <w:rFonts w:cs="Arial"/>
                <w:color w:val="333333"/>
                <w:szCs w:val="22"/>
                <w:lang w:val="fr-FR"/>
              </w:rPr>
            </w:pPr>
            <w:r w:rsidRPr="00057CAF">
              <w:rPr>
                <w:rFonts w:cs="Arial"/>
                <w:color w:val="333333"/>
                <w:szCs w:val="22"/>
                <w:lang w:val="fr-FR"/>
              </w:rPr>
              <w:t xml:space="preserve">Changement du cahier des charges ou </w:t>
            </w:r>
            <w:r w:rsidRPr="00057CAF">
              <w:rPr>
                <w:rFonts w:cs="Arial"/>
                <w:color w:val="333333"/>
                <w:szCs w:val="22"/>
                <w:highlight w:val="yellow"/>
                <w:lang w:val="fr-FR"/>
              </w:rPr>
              <w:t>d</w:t>
            </w:r>
            <w:r w:rsidR="00FA2001" w:rsidRPr="00057CAF">
              <w:rPr>
                <w:rFonts w:cs="Arial"/>
                <w:color w:val="333333"/>
                <w:szCs w:val="22"/>
                <w:highlight w:val="yellow"/>
                <w:lang w:val="fr-FR"/>
              </w:rPr>
              <w:t>es montants</w:t>
            </w:r>
          </w:p>
        </w:tc>
        <w:tc>
          <w:tcPr>
            <w:tcW w:w="1701" w:type="dxa"/>
            <w:shd w:val="clear" w:color="auto" w:fill="auto"/>
            <w:noWrap/>
            <w:vAlign w:val="bottom"/>
            <w:hideMark/>
          </w:tcPr>
          <w:p w:rsidR="00EB4CAC" w:rsidRPr="00FE454A" w:rsidRDefault="00EB4CAC" w:rsidP="00EB4CAC">
            <w:pPr>
              <w:jc w:val="right"/>
              <w:rPr>
                <w:rFonts w:cs="Arial"/>
                <w:color w:val="333333"/>
                <w:szCs w:val="22"/>
              </w:rPr>
            </w:pPr>
            <w:r w:rsidRPr="00FE454A">
              <w:rPr>
                <w:rFonts w:cs="Arial"/>
                <w:color w:val="333333"/>
                <w:szCs w:val="22"/>
              </w:rPr>
              <w:t>34,04%</w:t>
            </w:r>
          </w:p>
        </w:tc>
      </w:tr>
      <w:tr w:rsidR="00EB4CAC" w:rsidRPr="00FE454A" w:rsidTr="00EA11E1">
        <w:trPr>
          <w:trHeight w:val="300"/>
        </w:trPr>
        <w:tc>
          <w:tcPr>
            <w:tcW w:w="7225" w:type="dxa"/>
            <w:shd w:val="clear" w:color="EAEAE8" w:fill="EAEAE8"/>
            <w:noWrap/>
            <w:vAlign w:val="bottom"/>
            <w:hideMark/>
          </w:tcPr>
          <w:p w:rsidR="00EB4CAC" w:rsidRPr="00057CAF" w:rsidRDefault="00EB4CAC" w:rsidP="00EB4CAC">
            <w:pPr>
              <w:jc w:val="left"/>
              <w:rPr>
                <w:rFonts w:cs="Arial"/>
                <w:color w:val="333333"/>
                <w:szCs w:val="22"/>
                <w:lang w:val="fr-FR"/>
              </w:rPr>
            </w:pPr>
            <w:r w:rsidRPr="00057CAF">
              <w:rPr>
                <w:rFonts w:cs="Arial"/>
                <w:color w:val="333333"/>
                <w:szCs w:val="22"/>
                <w:lang w:val="fr-FR"/>
              </w:rPr>
              <w:t>Incertitudes, tracasseries liées au contrôle</w:t>
            </w:r>
          </w:p>
        </w:tc>
        <w:tc>
          <w:tcPr>
            <w:tcW w:w="1701" w:type="dxa"/>
            <w:shd w:val="clear" w:color="auto" w:fill="auto"/>
            <w:noWrap/>
            <w:vAlign w:val="bottom"/>
            <w:hideMark/>
          </w:tcPr>
          <w:p w:rsidR="00EB4CAC" w:rsidRPr="00FE454A" w:rsidRDefault="00EB4CAC" w:rsidP="00EB4CAC">
            <w:pPr>
              <w:jc w:val="right"/>
              <w:rPr>
                <w:rFonts w:cs="Arial"/>
                <w:color w:val="333333"/>
                <w:szCs w:val="22"/>
              </w:rPr>
            </w:pPr>
            <w:r w:rsidRPr="00FE454A">
              <w:rPr>
                <w:rFonts w:cs="Arial"/>
                <w:color w:val="333333"/>
                <w:szCs w:val="22"/>
              </w:rPr>
              <w:t>32,98%</w:t>
            </w:r>
          </w:p>
        </w:tc>
      </w:tr>
      <w:tr w:rsidR="00EB4CAC" w:rsidRPr="00FE454A" w:rsidTr="00EA11E1">
        <w:trPr>
          <w:trHeight w:val="300"/>
        </w:trPr>
        <w:tc>
          <w:tcPr>
            <w:tcW w:w="7225" w:type="dxa"/>
            <w:shd w:val="clear" w:color="EAEAE8" w:fill="EAEAE8"/>
            <w:noWrap/>
            <w:vAlign w:val="bottom"/>
            <w:hideMark/>
          </w:tcPr>
          <w:p w:rsidR="00EB4CAC" w:rsidRPr="00057CAF" w:rsidRDefault="00EB4CAC" w:rsidP="00EB4CAC">
            <w:pPr>
              <w:jc w:val="left"/>
              <w:rPr>
                <w:rFonts w:cs="Arial"/>
                <w:color w:val="333333"/>
                <w:szCs w:val="22"/>
                <w:lang w:val="fr-FR"/>
              </w:rPr>
            </w:pPr>
            <w:r w:rsidRPr="00057CAF">
              <w:rPr>
                <w:rFonts w:cs="Arial"/>
                <w:color w:val="333333"/>
                <w:szCs w:val="22"/>
                <w:lang w:val="fr-FR"/>
              </w:rPr>
              <w:t>Incertitudes sur l'avenir des MAE</w:t>
            </w:r>
          </w:p>
        </w:tc>
        <w:tc>
          <w:tcPr>
            <w:tcW w:w="1701" w:type="dxa"/>
            <w:shd w:val="clear" w:color="auto" w:fill="auto"/>
            <w:noWrap/>
            <w:vAlign w:val="bottom"/>
            <w:hideMark/>
          </w:tcPr>
          <w:p w:rsidR="00EB4CAC" w:rsidRPr="00FE454A" w:rsidRDefault="00EB4CAC" w:rsidP="00EB4CAC">
            <w:pPr>
              <w:jc w:val="right"/>
              <w:rPr>
                <w:rFonts w:cs="Arial"/>
                <w:color w:val="333333"/>
                <w:szCs w:val="22"/>
                <w:lang w:val="en-US"/>
              </w:rPr>
            </w:pPr>
            <w:r w:rsidRPr="00FE454A">
              <w:rPr>
                <w:rFonts w:cs="Arial"/>
                <w:color w:val="333333"/>
                <w:szCs w:val="22"/>
                <w:lang w:val="en-US"/>
              </w:rPr>
              <w:t>7,45%</w:t>
            </w:r>
          </w:p>
        </w:tc>
      </w:tr>
      <w:tr w:rsidR="00EB4CAC" w:rsidRPr="00FE454A" w:rsidTr="00EA11E1">
        <w:trPr>
          <w:trHeight w:val="300"/>
        </w:trPr>
        <w:tc>
          <w:tcPr>
            <w:tcW w:w="7225" w:type="dxa"/>
            <w:shd w:val="clear" w:color="EAEAE8" w:fill="EAEAE8"/>
            <w:noWrap/>
            <w:vAlign w:val="bottom"/>
            <w:hideMark/>
          </w:tcPr>
          <w:p w:rsidR="00EB4CAC" w:rsidRPr="00FE454A" w:rsidRDefault="00EB4CAC" w:rsidP="00EB4CAC">
            <w:pPr>
              <w:jc w:val="left"/>
              <w:rPr>
                <w:rFonts w:cs="Arial"/>
                <w:color w:val="333333"/>
                <w:szCs w:val="22"/>
                <w:lang w:val="en-US"/>
              </w:rPr>
            </w:pPr>
            <w:proofErr w:type="spellStart"/>
            <w:r w:rsidRPr="00FE454A">
              <w:rPr>
                <w:rFonts w:cs="Arial"/>
                <w:color w:val="333333"/>
                <w:szCs w:val="22"/>
                <w:lang w:val="en-US"/>
              </w:rPr>
              <w:t>Contexte</w:t>
            </w:r>
            <w:proofErr w:type="spellEnd"/>
            <w:r w:rsidRPr="00FE454A">
              <w:rPr>
                <w:rFonts w:cs="Arial"/>
                <w:color w:val="333333"/>
                <w:szCs w:val="22"/>
                <w:lang w:val="en-US"/>
              </w:rPr>
              <w:t xml:space="preserve"> </w:t>
            </w:r>
            <w:proofErr w:type="spellStart"/>
            <w:r w:rsidRPr="00FE454A">
              <w:rPr>
                <w:rFonts w:cs="Arial"/>
                <w:color w:val="333333"/>
                <w:szCs w:val="22"/>
                <w:lang w:val="en-US"/>
              </w:rPr>
              <w:t>économique</w:t>
            </w:r>
            <w:proofErr w:type="spellEnd"/>
            <w:r w:rsidRPr="00FE454A">
              <w:rPr>
                <w:rFonts w:cs="Arial"/>
                <w:color w:val="333333"/>
                <w:szCs w:val="22"/>
                <w:lang w:val="en-US"/>
              </w:rPr>
              <w:t xml:space="preserve"> </w:t>
            </w:r>
            <w:proofErr w:type="spellStart"/>
            <w:r w:rsidRPr="00FE454A">
              <w:rPr>
                <w:rFonts w:cs="Arial"/>
                <w:color w:val="333333"/>
                <w:szCs w:val="22"/>
                <w:lang w:val="en-US"/>
              </w:rPr>
              <w:t>moins</w:t>
            </w:r>
            <w:proofErr w:type="spellEnd"/>
            <w:r w:rsidRPr="00FE454A">
              <w:rPr>
                <w:rFonts w:cs="Arial"/>
                <w:color w:val="333333"/>
                <w:szCs w:val="22"/>
                <w:lang w:val="en-US"/>
              </w:rPr>
              <w:t xml:space="preserve"> </w:t>
            </w:r>
            <w:proofErr w:type="spellStart"/>
            <w:r w:rsidRPr="00FE454A">
              <w:rPr>
                <w:rFonts w:cs="Arial"/>
                <w:color w:val="333333"/>
                <w:szCs w:val="22"/>
                <w:lang w:val="en-US"/>
              </w:rPr>
              <w:t>propice</w:t>
            </w:r>
            <w:proofErr w:type="spellEnd"/>
          </w:p>
        </w:tc>
        <w:tc>
          <w:tcPr>
            <w:tcW w:w="1701" w:type="dxa"/>
            <w:shd w:val="clear" w:color="auto" w:fill="auto"/>
            <w:noWrap/>
            <w:vAlign w:val="bottom"/>
            <w:hideMark/>
          </w:tcPr>
          <w:p w:rsidR="00EB4CAC" w:rsidRPr="00FE454A" w:rsidRDefault="00EB4CAC" w:rsidP="00EB4CAC">
            <w:pPr>
              <w:jc w:val="right"/>
              <w:rPr>
                <w:rFonts w:cs="Arial"/>
                <w:color w:val="333333"/>
                <w:szCs w:val="22"/>
                <w:lang w:val="en-US"/>
              </w:rPr>
            </w:pPr>
            <w:r w:rsidRPr="00FE454A">
              <w:rPr>
                <w:rFonts w:cs="Arial"/>
                <w:color w:val="333333"/>
                <w:szCs w:val="22"/>
                <w:lang w:val="en-US"/>
              </w:rPr>
              <w:t>10,64%</w:t>
            </w:r>
          </w:p>
        </w:tc>
      </w:tr>
      <w:tr w:rsidR="00EB4CAC" w:rsidRPr="00FE454A" w:rsidTr="00EA11E1">
        <w:trPr>
          <w:trHeight w:val="300"/>
        </w:trPr>
        <w:tc>
          <w:tcPr>
            <w:tcW w:w="7225" w:type="dxa"/>
            <w:shd w:val="clear" w:color="EAEAE8" w:fill="EAEAE8"/>
            <w:noWrap/>
            <w:vAlign w:val="bottom"/>
            <w:hideMark/>
          </w:tcPr>
          <w:p w:rsidR="00EB4CAC" w:rsidRPr="00057CAF" w:rsidRDefault="00EB4CAC" w:rsidP="00EB4CAC">
            <w:pPr>
              <w:jc w:val="left"/>
              <w:rPr>
                <w:rFonts w:cs="Arial"/>
                <w:color w:val="333333"/>
                <w:szCs w:val="22"/>
                <w:lang w:val="fr-FR"/>
              </w:rPr>
            </w:pPr>
            <w:r w:rsidRPr="00057CAF">
              <w:rPr>
                <w:rFonts w:cs="Arial"/>
                <w:color w:val="333333"/>
                <w:szCs w:val="22"/>
                <w:lang w:val="fr-FR"/>
              </w:rPr>
              <w:t>Attitude peu encourageante de l'administration</w:t>
            </w:r>
          </w:p>
        </w:tc>
        <w:tc>
          <w:tcPr>
            <w:tcW w:w="1701" w:type="dxa"/>
            <w:shd w:val="clear" w:color="auto" w:fill="auto"/>
            <w:noWrap/>
            <w:vAlign w:val="bottom"/>
            <w:hideMark/>
          </w:tcPr>
          <w:p w:rsidR="00EB4CAC" w:rsidRPr="00FE454A" w:rsidRDefault="00EB4CAC" w:rsidP="00EB4CAC">
            <w:pPr>
              <w:jc w:val="right"/>
              <w:rPr>
                <w:rFonts w:cs="Arial"/>
                <w:color w:val="333333"/>
                <w:szCs w:val="22"/>
                <w:lang w:val="en-US"/>
              </w:rPr>
            </w:pPr>
            <w:r w:rsidRPr="00FE454A">
              <w:rPr>
                <w:rFonts w:cs="Arial"/>
                <w:color w:val="333333"/>
                <w:szCs w:val="22"/>
                <w:lang w:val="en-US"/>
              </w:rPr>
              <w:t>28,72%</w:t>
            </w:r>
          </w:p>
        </w:tc>
      </w:tr>
      <w:tr w:rsidR="00EB4CAC" w:rsidRPr="00FE454A" w:rsidTr="00EA11E1">
        <w:trPr>
          <w:trHeight w:val="300"/>
        </w:trPr>
        <w:tc>
          <w:tcPr>
            <w:tcW w:w="7225" w:type="dxa"/>
            <w:shd w:val="clear" w:color="EAEAE8" w:fill="EAEAE8"/>
            <w:noWrap/>
            <w:vAlign w:val="bottom"/>
            <w:hideMark/>
          </w:tcPr>
          <w:p w:rsidR="00EB4CAC" w:rsidRPr="00057CAF" w:rsidRDefault="00EB4CAC" w:rsidP="00EB4CAC">
            <w:pPr>
              <w:jc w:val="left"/>
              <w:rPr>
                <w:rFonts w:cs="Arial"/>
                <w:color w:val="333333"/>
                <w:szCs w:val="22"/>
                <w:lang w:val="fr-FR"/>
              </w:rPr>
            </w:pPr>
            <w:r w:rsidRPr="00057CAF">
              <w:rPr>
                <w:rFonts w:cs="Arial"/>
                <w:color w:val="333333"/>
                <w:szCs w:val="22"/>
                <w:lang w:val="fr-FR"/>
              </w:rPr>
              <w:t>Attitude peu encourageante de membres de votre entourage</w:t>
            </w:r>
          </w:p>
        </w:tc>
        <w:tc>
          <w:tcPr>
            <w:tcW w:w="1701" w:type="dxa"/>
            <w:shd w:val="clear" w:color="auto" w:fill="auto"/>
            <w:noWrap/>
            <w:vAlign w:val="bottom"/>
            <w:hideMark/>
          </w:tcPr>
          <w:p w:rsidR="00EB4CAC" w:rsidRPr="00FE454A" w:rsidRDefault="00EB4CAC" w:rsidP="00EB4CAC">
            <w:pPr>
              <w:jc w:val="right"/>
              <w:rPr>
                <w:rFonts w:cs="Arial"/>
                <w:color w:val="333333"/>
                <w:szCs w:val="22"/>
                <w:lang w:val="en-US"/>
              </w:rPr>
            </w:pPr>
            <w:r w:rsidRPr="00FE454A">
              <w:rPr>
                <w:rFonts w:cs="Arial"/>
                <w:color w:val="333333"/>
                <w:szCs w:val="22"/>
                <w:lang w:val="en-US"/>
              </w:rPr>
              <w:t>3,19%</w:t>
            </w:r>
          </w:p>
        </w:tc>
      </w:tr>
      <w:tr w:rsidR="00EB4CAC" w:rsidRPr="00FE454A" w:rsidTr="00EA11E1">
        <w:trPr>
          <w:trHeight w:val="300"/>
        </w:trPr>
        <w:tc>
          <w:tcPr>
            <w:tcW w:w="7225" w:type="dxa"/>
            <w:shd w:val="clear" w:color="EAEAE8" w:fill="EAEAE8"/>
            <w:noWrap/>
            <w:vAlign w:val="bottom"/>
            <w:hideMark/>
          </w:tcPr>
          <w:p w:rsidR="00EB4CAC" w:rsidRPr="00FE454A" w:rsidRDefault="00EB4CAC" w:rsidP="00EB4CAC">
            <w:pPr>
              <w:jc w:val="left"/>
              <w:rPr>
                <w:rFonts w:cs="Arial"/>
                <w:color w:val="333333"/>
                <w:szCs w:val="22"/>
                <w:lang w:val="en-US"/>
              </w:rPr>
            </w:pPr>
            <w:proofErr w:type="spellStart"/>
            <w:r w:rsidRPr="00FE454A">
              <w:rPr>
                <w:rFonts w:cs="Arial"/>
                <w:color w:val="333333"/>
                <w:szCs w:val="22"/>
                <w:lang w:val="en-US"/>
              </w:rPr>
              <w:t>Autre</w:t>
            </w:r>
            <w:proofErr w:type="spellEnd"/>
            <w:r w:rsidRPr="00FE454A">
              <w:rPr>
                <w:rFonts w:cs="Arial"/>
                <w:color w:val="333333"/>
                <w:szCs w:val="22"/>
                <w:lang w:val="en-US"/>
              </w:rPr>
              <w:t xml:space="preserve"> </w:t>
            </w:r>
          </w:p>
        </w:tc>
        <w:tc>
          <w:tcPr>
            <w:tcW w:w="1701" w:type="dxa"/>
            <w:shd w:val="clear" w:color="auto" w:fill="auto"/>
            <w:noWrap/>
            <w:vAlign w:val="bottom"/>
            <w:hideMark/>
          </w:tcPr>
          <w:p w:rsidR="00EB4CAC" w:rsidRPr="00FE454A" w:rsidRDefault="00EB4CAC" w:rsidP="00EB4CAC">
            <w:pPr>
              <w:jc w:val="right"/>
              <w:rPr>
                <w:rFonts w:cs="Arial"/>
                <w:color w:val="333333"/>
                <w:szCs w:val="22"/>
                <w:lang w:val="en-US"/>
              </w:rPr>
            </w:pPr>
            <w:r w:rsidRPr="00FE454A">
              <w:rPr>
                <w:rFonts w:cs="Arial"/>
                <w:color w:val="333333"/>
                <w:szCs w:val="22"/>
                <w:lang w:val="en-US"/>
              </w:rPr>
              <w:t>24,47%</w:t>
            </w:r>
          </w:p>
        </w:tc>
      </w:tr>
    </w:tbl>
    <w:p w:rsidR="00AD2408" w:rsidRPr="00057CAF" w:rsidRDefault="00AD2408" w:rsidP="00AD2408">
      <w:pPr>
        <w:rPr>
          <w:rFonts w:eastAsiaTheme="minorHAnsi"/>
          <w:lang w:val="fr-FR"/>
        </w:rPr>
      </w:pPr>
      <w:r w:rsidRPr="00057CAF">
        <w:rPr>
          <w:rFonts w:eastAsiaTheme="minorHAnsi"/>
          <w:lang w:val="fr-FR"/>
        </w:rPr>
        <w:lastRenderedPageBreak/>
        <w:t xml:space="preserve">Les abandons sont surtout liés aux baisses de </w:t>
      </w:r>
      <w:r w:rsidR="00FA2001" w:rsidRPr="00057CAF">
        <w:rPr>
          <w:rFonts w:eastAsiaTheme="minorHAnsi"/>
          <w:highlight w:val="yellow"/>
          <w:lang w:val="fr-FR"/>
        </w:rPr>
        <w:t>montant</w:t>
      </w:r>
      <w:r w:rsidR="00FA2001" w:rsidRPr="00057CAF">
        <w:rPr>
          <w:rFonts w:eastAsiaTheme="minorHAnsi"/>
          <w:lang w:val="fr-FR"/>
        </w:rPr>
        <w:t>s d’aide</w:t>
      </w:r>
      <w:r w:rsidRPr="00057CAF">
        <w:rPr>
          <w:rFonts w:eastAsiaTheme="minorHAnsi"/>
          <w:lang w:val="fr-FR"/>
        </w:rPr>
        <w:t xml:space="preserve">, tracasseries, administration perçue comme peu encourageante. Ceci concerne au moins et surtout MB1. </w:t>
      </w:r>
    </w:p>
    <w:p w:rsidR="00EB4CAC" w:rsidRPr="00057CAF" w:rsidRDefault="00AD2408" w:rsidP="00AD2408">
      <w:pPr>
        <w:rPr>
          <w:rFonts w:eastAsiaTheme="minorHAnsi"/>
          <w:lang w:val="fr-FR"/>
        </w:rPr>
      </w:pPr>
      <w:r w:rsidRPr="00057CAF">
        <w:rPr>
          <w:rFonts w:eastAsiaTheme="minorHAnsi"/>
          <w:lang w:val="fr-FR"/>
        </w:rPr>
        <w:t>Dans quelques rares cas (dans la rubrique « autres »), passages dans un autre régime de protection (N2000, autre MAEC).</w:t>
      </w:r>
    </w:p>
    <w:p w:rsidR="00EB4CAC" w:rsidRPr="00057CAF" w:rsidRDefault="00EB4CAC" w:rsidP="00EB4CAC">
      <w:pPr>
        <w:spacing w:after="160" w:line="259" w:lineRule="auto"/>
        <w:jc w:val="left"/>
        <w:rPr>
          <w:rFonts w:eastAsiaTheme="minorHAnsi" w:cstheme="minorBidi"/>
          <w:b/>
          <w:szCs w:val="22"/>
          <w:u w:val="single"/>
          <w:lang w:val="fr-FR"/>
        </w:rPr>
      </w:pPr>
      <w:r w:rsidRPr="00057CAF">
        <w:rPr>
          <w:rFonts w:eastAsiaTheme="minorHAnsi" w:cstheme="minorBidi"/>
          <w:b/>
          <w:szCs w:val="22"/>
          <w:u w:val="single"/>
          <w:lang w:val="fr-FR"/>
        </w:rPr>
        <w:t xml:space="preserve">Personnes ou institutions qui ont encouragé à mettre en </w:t>
      </w:r>
      <w:r w:rsidR="00467012" w:rsidRPr="00057CAF">
        <w:rPr>
          <w:rFonts w:eastAsiaTheme="minorHAnsi" w:cstheme="minorBidi"/>
          <w:b/>
          <w:szCs w:val="22"/>
          <w:u w:val="single"/>
          <w:lang w:val="fr-FR"/>
        </w:rPr>
        <w:t>œuvre</w:t>
      </w:r>
      <w:r w:rsidRPr="00057CAF">
        <w:rPr>
          <w:rFonts w:eastAsiaTheme="minorHAnsi" w:cstheme="minorBidi"/>
          <w:b/>
          <w:szCs w:val="22"/>
          <w:u w:val="single"/>
          <w:lang w:val="fr-FR"/>
        </w:rPr>
        <w:t xml:space="preserve"> des MAEC (Q68, N=236)</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701"/>
      </w:tblGrid>
      <w:tr w:rsidR="00EB4CAC" w:rsidRPr="00BD517E" w:rsidTr="00EA11E1">
        <w:trPr>
          <w:trHeight w:val="300"/>
        </w:trPr>
        <w:tc>
          <w:tcPr>
            <w:tcW w:w="7225" w:type="dxa"/>
            <w:shd w:val="clear" w:color="EAEAE8" w:fill="EAEAE8"/>
            <w:noWrap/>
            <w:vAlign w:val="bottom"/>
            <w:hideMark/>
          </w:tcPr>
          <w:p w:rsidR="00EB4CAC" w:rsidRPr="00057CAF" w:rsidRDefault="00EB4CAC" w:rsidP="00BD517E">
            <w:pPr>
              <w:rPr>
                <w:lang w:val="fr-FR"/>
              </w:rPr>
            </w:pPr>
            <w:r w:rsidRPr="00057CAF">
              <w:rPr>
                <w:lang w:val="fr-FR"/>
              </w:rPr>
              <w:t>Services extérieurs du ministère de l'agriculture</w:t>
            </w:r>
          </w:p>
        </w:tc>
        <w:tc>
          <w:tcPr>
            <w:tcW w:w="1701" w:type="dxa"/>
            <w:shd w:val="clear" w:color="auto" w:fill="auto"/>
            <w:noWrap/>
            <w:vAlign w:val="bottom"/>
            <w:hideMark/>
          </w:tcPr>
          <w:p w:rsidR="00EB4CAC" w:rsidRPr="00BD517E" w:rsidRDefault="00EB4CAC" w:rsidP="00BD517E">
            <w:r w:rsidRPr="00BD517E">
              <w:t>32,63%</w:t>
            </w:r>
          </w:p>
        </w:tc>
      </w:tr>
      <w:tr w:rsidR="00EB4CAC" w:rsidRPr="00BD517E" w:rsidTr="00EA11E1">
        <w:trPr>
          <w:trHeight w:val="300"/>
        </w:trPr>
        <w:tc>
          <w:tcPr>
            <w:tcW w:w="7225" w:type="dxa"/>
            <w:shd w:val="clear" w:color="EAEAE8" w:fill="EAEAE8"/>
            <w:noWrap/>
            <w:vAlign w:val="bottom"/>
            <w:hideMark/>
          </w:tcPr>
          <w:p w:rsidR="00EB4CAC" w:rsidRPr="00BD517E" w:rsidRDefault="00EB4CAC" w:rsidP="00BD517E">
            <w:proofErr w:type="spellStart"/>
            <w:r w:rsidRPr="00BD517E">
              <w:t>Conseillers</w:t>
            </w:r>
            <w:proofErr w:type="spellEnd"/>
            <w:r w:rsidRPr="00BD517E">
              <w:t xml:space="preserve"> </w:t>
            </w:r>
            <w:proofErr w:type="spellStart"/>
            <w:r w:rsidRPr="00BD517E">
              <w:t>Natagriwal</w:t>
            </w:r>
            <w:proofErr w:type="spellEnd"/>
          </w:p>
        </w:tc>
        <w:tc>
          <w:tcPr>
            <w:tcW w:w="1701" w:type="dxa"/>
            <w:shd w:val="clear" w:color="auto" w:fill="auto"/>
            <w:noWrap/>
            <w:vAlign w:val="bottom"/>
            <w:hideMark/>
          </w:tcPr>
          <w:p w:rsidR="00EB4CAC" w:rsidRPr="00BD517E" w:rsidRDefault="00EB4CAC" w:rsidP="00BD517E">
            <w:r w:rsidRPr="00BD517E">
              <w:t>28,81%</w:t>
            </w:r>
          </w:p>
        </w:tc>
      </w:tr>
      <w:tr w:rsidR="00EB4CAC" w:rsidRPr="00BD517E" w:rsidTr="00EA11E1">
        <w:trPr>
          <w:trHeight w:val="300"/>
        </w:trPr>
        <w:tc>
          <w:tcPr>
            <w:tcW w:w="7225" w:type="dxa"/>
            <w:shd w:val="clear" w:color="EAEAE8" w:fill="EAEAE8"/>
            <w:noWrap/>
            <w:vAlign w:val="bottom"/>
            <w:hideMark/>
          </w:tcPr>
          <w:p w:rsidR="00EB4CAC" w:rsidRPr="00057CAF" w:rsidRDefault="00EB4CAC" w:rsidP="00BD517E">
            <w:pPr>
              <w:rPr>
                <w:lang w:val="fr-FR"/>
              </w:rPr>
            </w:pPr>
            <w:r w:rsidRPr="00057CAF">
              <w:rPr>
                <w:lang w:val="fr-FR"/>
              </w:rPr>
              <w:t>Associations professionnelles ou syndicats agricoles</w:t>
            </w:r>
          </w:p>
        </w:tc>
        <w:tc>
          <w:tcPr>
            <w:tcW w:w="1701" w:type="dxa"/>
            <w:shd w:val="clear" w:color="auto" w:fill="auto"/>
            <w:noWrap/>
            <w:vAlign w:val="bottom"/>
            <w:hideMark/>
          </w:tcPr>
          <w:p w:rsidR="00EB4CAC" w:rsidRPr="00BD517E" w:rsidRDefault="00EB4CAC" w:rsidP="00BD517E">
            <w:r w:rsidRPr="00BD517E">
              <w:t>18,64%</w:t>
            </w:r>
          </w:p>
        </w:tc>
      </w:tr>
      <w:tr w:rsidR="00EB4CAC" w:rsidRPr="00BD517E" w:rsidTr="00EA11E1">
        <w:trPr>
          <w:trHeight w:val="300"/>
        </w:trPr>
        <w:tc>
          <w:tcPr>
            <w:tcW w:w="7225" w:type="dxa"/>
            <w:shd w:val="clear" w:color="EAEAE8" w:fill="EAEAE8"/>
            <w:noWrap/>
            <w:vAlign w:val="bottom"/>
            <w:hideMark/>
          </w:tcPr>
          <w:p w:rsidR="00EB4CAC" w:rsidRPr="00BD517E" w:rsidRDefault="00EB4CAC" w:rsidP="00BD517E">
            <w:r w:rsidRPr="00BD517E">
              <w:t xml:space="preserve">Associations </w:t>
            </w:r>
            <w:proofErr w:type="spellStart"/>
            <w:r w:rsidRPr="00BD517E">
              <w:t>environnementales</w:t>
            </w:r>
            <w:proofErr w:type="spellEnd"/>
          </w:p>
        </w:tc>
        <w:tc>
          <w:tcPr>
            <w:tcW w:w="1701" w:type="dxa"/>
            <w:shd w:val="clear" w:color="auto" w:fill="auto"/>
            <w:noWrap/>
            <w:vAlign w:val="bottom"/>
            <w:hideMark/>
          </w:tcPr>
          <w:p w:rsidR="00EB4CAC" w:rsidRPr="00BD517E" w:rsidRDefault="00EB4CAC" w:rsidP="00BD517E">
            <w:r w:rsidRPr="00BD517E">
              <w:t>7,63%</w:t>
            </w:r>
          </w:p>
        </w:tc>
      </w:tr>
      <w:tr w:rsidR="00EB4CAC" w:rsidRPr="00BD517E" w:rsidTr="00EA11E1">
        <w:trPr>
          <w:trHeight w:val="300"/>
        </w:trPr>
        <w:tc>
          <w:tcPr>
            <w:tcW w:w="7225" w:type="dxa"/>
            <w:shd w:val="clear" w:color="EAEAE8" w:fill="EAEAE8"/>
            <w:noWrap/>
            <w:vAlign w:val="bottom"/>
            <w:hideMark/>
          </w:tcPr>
          <w:p w:rsidR="00EB4CAC" w:rsidRPr="00BD517E" w:rsidRDefault="00EB4CAC" w:rsidP="00BD517E">
            <w:r w:rsidRPr="00BD517E">
              <w:t>GAL, Parc Naturel</w:t>
            </w:r>
          </w:p>
        </w:tc>
        <w:tc>
          <w:tcPr>
            <w:tcW w:w="1701" w:type="dxa"/>
            <w:shd w:val="clear" w:color="auto" w:fill="auto"/>
            <w:noWrap/>
            <w:vAlign w:val="bottom"/>
            <w:hideMark/>
          </w:tcPr>
          <w:p w:rsidR="00EB4CAC" w:rsidRPr="00BD517E" w:rsidRDefault="00EB4CAC" w:rsidP="00BD517E">
            <w:r w:rsidRPr="00BD517E">
              <w:t>6,36%</w:t>
            </w:r>
          </w:p>
        </w:tc>
      </w:tr>
      <w:tr w:rsidR="00EB4CAC" w:rsidRPr="00BD517E" w:rsidTr="00EA11E1">
        <w:trPr>
          <w:trHeight w:val="300"/>
        </w:trPr>
        <w:tc>
          <w:tcPr>
            <w:tcW w:w="7225" w:type="dxa"/>
            <w:shd w:val="clear" w:color="EAEAE8" w:fill="EAEAE8"/>
            <w:noWrap/>
            <w:vAlign w:val="bottom"/>
            <w:hideMark/>
          </w:tcPr>
          <w:p w:rsidR="00EB4CAC" w:rsidRPr="00BD517E" w:rsidRDefault="00EB4CAC" w:rsidP="00BD517E">
            <w:r w:rsidRPr="00BD517E">
              <w:t>Associations</w:t>
            </w:r>
          </w:p>
        </w:tc>
        <w:tc>
          <w:tcPr>
            <w:tcW w:w="1701" w:type="dxa"/>
            <w:shd w:val="clear" w:color="auto" w:fill="auto"/>
            <w:noWrap/>
            <w:vAlign w:val="bottom"/>
            <w:hideMark/>
          </w:tcPr>
          <w:p w:rsidR="00EB4CAC" w:rsidRPr="00BD517E" w:rsidRDefault="00EB4CAC" w:rsidP="00BD517E">
            <w:r w:rsidRPr="00BD517E">
              <w:t>1,27%</w:t>
            </w:r>
          </w:p>
        </w:tc>
      </w:tr>
      <w:tr w:rsidR="00EB4CAC" w:rsidRPr="00BD517E" w:rsidTr="00EA11E1">
        <w:trPr>
          <w:trHeight w:val="300"/>
        </w:trPr>
        <w:tc>
          <w:tcPr>
            <w:tcW w:w="7225" w:type="dxa"/>
            <w:shd w:val="clear" w:color="EAEAE8" w:fill="EAEAE8"/>
            <w:noWrap/>
            <w:vAlign w:val="bottom"/>
            <w:hideMark/>
          </w:tcPr>
          <w:p w:rsidR="00EB4CAC" w:rsidRPr="00BD517E" w:rsidRDefault="00EB4CAC" w:rsidP="00BD517E">
            <w:r w:rsidRPr="00BD517E">
              <w:t xml:space="preserve">Parents, </w:t>
            </w:r>
            <w:proofErr w:type="spellStart"/>
            <w:r w:rsidRPr="00BD517E">
              <w:t>amis</w:t>
            </w:r>
            <w:proofErr w:type="spellEnd"/>
          </w:p>
        </w:tc>
        <w:tc>
          <w:tcPr>
            <w:tcW w:w="1701" w:type="dxa"/>
            <w:shd w:val="clear" w:color="auto" w:fill="auto"/>
            <w:noWrap/>
            <w:vAlign w:val="bottom"/>
            <w:hideMark/>
          </w:tcPr>
          <w:p w:rsidR="00EB4CAC" w:rsidRPr="00BD517E" w:rsidRDefault="00EB4CAC" w:rsidP="00BD517E">
            <w:r w:rsidRPr="00BD517E">
              <w:t>12,71%</w:t>
            </w:r>
          </w:p>
        </w:tc>
      </w:tr>
      <w:tr w:rsidR="00EB4CAC" w:rsidRPr="00BD517E" w:rsidTr="00EA11E1">
        <w:trPr>
          <w:trHeight w:val="300"/>
        </w:trPr>
        <w:tc>
          <w:tcPr>
            <w:tcW w:w="7225" w:type="dxa"/>
            <w:shd w:val="clear" w:color="EAEAE8" w:fill="EAEAE8"/>
            <w:noWrap/>
            <w:vAlign w:val="bottom"/>
            <w:hideMark/>
          </w:tcPr>
          <w:p w:rsidR="00EB4CAC" w:rsidRPr="00BD517E" w:rsidRDefault="00EB4CAC" w:rsidP="00BD517E">
            <w:proofErr w:type="spellStart"/>
            <w:r w:rsidRPr="00BD517E">
              <w:t>Voisins</w:t>
            </w:r>
            <w:proofErr w:type="spellEnd"/>
            <w:r w:rsidRPr="00BD517E">
              <w:t xml:space="preserve">, </w:t>
            </w:r>
            <w:proofErr w:type="spellStart"/>
            <w:r w:rsidRPr="00BD517E">
              <w:t>collègues</w:t>
            </w:r>
            <w:proofErr w:type="spellEnd"/>
          </w:p>
        </w:tc>
        <w:tc>
          <w:tcPr>
            <w:tcW w:w="1701" w:type="dxa"/>
            <w:shd w:val="clear" w:color="auto" w:fill="auto"/>
            <w:noWrap/>
            <w:vAlign w:val="bottom"/>
            <w:hideMark/>
          </w:tcPr>
          <w:p w:rsidR="00EB4CAC" w:rsidRPr="00BD517E" w:rsidRDefault="00EB4CAC" w:rsidP="00BD517E">
            <w:r w:rsidRPr="00BD517E">
              <w:t>11,02%</w:t>
            </w:r>
          </w:p>
        </w:tc>
      </w:tr>
      <w:tr w:rsidR="00EB4CAC" w:rsidRPr="00BD517E" w:rsidTr="00EA11E1">
        <w:trPr>
          <w:trHeight w:val="300"/>
        </w:trPr>
        <w:tc>
          <w:tcPr>
            <w:tcW w:w="7225" w:type="dxa"/>
            <w:shd w:val="clear" w:color="EAEAE8" w:fill="EAEAE8"/>
            <w:noWrap/>
            <w:vAlign w:val="bottom"/>
            <w:hideMark/>
          </w:tcPr>
          <w:p w:rsidR="00EB4CAC" w:rsidRPr="00BD517E" w:rsidRDefault="00EB4CAC" w:rsidP="00BD517E">
            <w:r w:rsidRPr="00BD517E">
              <w:t>Chasseurs</w:t>
            </w:r>
          </w:p>
        </w:tc>
        <w:tc>
          <w:tcPr>
            <w:tcW w:w="1701" w:type="dxa"/>
            <w:shd w:val="clear" w:color="auto" w:fill="auto"/>
            <w:noWrap/>
            <w:vAlign w:val="bottom"/>
            <w:hideMark/>
          </w:tcPr>
          <w:p w:rsidR="00EB4CAC" w:rsidRPr="00BD517E" w:rsidRDefault="00EB4CAC" w:rsidP="00BD517E">
            <w:r w:rsidRPr="00BD517E">
              <w:t>8,05%</w:t>
            </w:r>
          </w:p>
        </w:tc>
      </w:tr>
      <w:tr w:rsidR="00EB4CAC" w:rsidRPr="00BD517E" w:rsidTr="00EA11E1">
        <w:trPr>
          <w:trHeight w:val="300"/>
        </w:trPr>
        <w:tc>
          <w:tcPr>
            <w:tcW w:w="7225" w:type="dxa"/>
            <w:shd w:val="clear" w:color="EAEAE8" w:fill="EAEAE8"/>
            <w:noWrap/>
            <w:vAlign w:val="bottom"/>
            <w:hideMark/>
          </w:tcPr>
          <w:p w:rsidR="00EB4CAC" w:rsidRPr="00BD517E" w:rsidRDefault="00EB4CAC" w:rsidP="00BD517E">
            <w:proofErr w:type="spellStart"/>
            <w:r w:rsidRPr="00BD517E">
              <w:t>Autre</w:t>
            </w:r>
            <w:proofErr w:type="spellEnd"/>
            <w:r w:rsidRPr="00BD517E">
              <w:t>:</w:t>
            </w:r>
          </w:p>
        </w:tc>
        <w:tc>
          <w:tcPr>
            <w:tcW w:w="1701" w:type="dxa"/>
            <w:shd w:val="clear" w:color="auto" w:fill="auto"/>
            <w:noWrap/>
            <w:vAlign w:val="bottom"/>
            <w:hideMark/>
          </w:tcPr>
          <w:p w:rsidR="00EB4CAC" w:rsidRPr="00BD517E" w:rsidRDefault="00EB4CAC" w:rsidP="00BD517E">
            <w:r w:rsidRPr="00BD517E">
              <w:t>18,64%</w:t>
            </w:r>
          </w:p>
        </w:tc>
      </w:tr>
    </w:tbl>
    <w:p w:rsidR="00FE454A" w:rsidRDefault="00FE454A" w:rsidP="00AD2408">
      <w:pPr>
        <w:rPr>
          <w:rFonts w:eastAsiaTheme="minorHAnsi"/>
        </w:rPr>
      </w:pPr>
    </w:p>
    <w:p w:rsidR="00EB4CAC" w:rsidRPr="00057CAF" w:rsidRDefault="00AD2408" w:rsidP="00AD2408">
      <w:pPr>
        <w:rPr>
          <w:rFonts w:eastAsiaTheme="minorHAnsi"/>
          <w:lang w:val="fr-FR"/>
        </w:rPr>
      </w:pPr>
      <w:r w:rsidRPr="00057CAF">
        <w:rPr>
          <w:rFonts w:eastAsiaTheme="minorHAnsi"/>
          <w:lang w:val="fr-FR"/>
        </w:rPr>
        <w:t xml:space="preserve">Ces données indiquent un rôle positif des services extérieurs (et de </w:t>
      </w:r>
      <w:proofErr w:type="spellStart"/>
      <w:r w:rsidRPr="00057CAF">
        <w:rPr>
          <w:rFonts w:eastAsiaTheme="minorHAnsi"/>
          <w:lang w:val="fr-FR"/>
        </w:rPr>
        <w:t>Natagriwal</w:t>
      </w:r>
      <w:proofErr w:type="spellEnd"/>
      <w:r w:rsidRPr="00057CAF">
        <w:rPr>
          <w:rFonts w:eastAsiaTheme="minorHAnsi"/>
          <w:lang w:val="fr-FR"/>
        </w:rPr>
        <w:t>) dans l’adoption, bien que l’administration joue également un rôle dans l’abandon.</w:t>
      </w:r>
    </w:p>
    <w:p w:rsidR="00FE454A" w:rsidRPr="00057CAF" w:rsidRDefault="00FE454A" w:rsidP="00AD2408">
      <w:pPr>
        <w:rPr>
          <w:rFonts w:eastAsiaTheme="minorHAnsi"/>
          <w:lang w:val="fr-FR"/>
        </w:rPr>
      </w:pPr>
    </w:p>
    <w:p w:rsidR="00EB4CAC" w:rsidRPr="00057CAF" w:rsidRDefault="00EB4CAC" w:rsidP="00EB4CAC">
      <w:pPr>
        <w:spacing w:after="160" w:line="259" w:lineRule="auto"/>
        <w:jc w:val="left"/>
        <w:rPr>
          <w:rFonts w:eastAsiaTheme="minorHAnsi" w:cstheme="minorBidi"/>
          <w:szCs w:val="22"/>
          <w:lang w:val="fr-FR"/>
        </w:rPr>
      </w:pPr>
      <w:r w:rsidRPr="00057CAF">
        <w:rPr>
          <w:rFonts w:eastAsiaTheme="minorHAnsi" w:cstheme="minorBidi"/>
          <w:b/>
          <w:szCs w:val="22"/>
          <w:u w:val="single"/>
          <w:lang w:val="fr-FR"/>
        </w:rPr>
        <w:t xml:space="preserve">Compréhension de l’utilité des MAEC </w:t>
      </w:r>
      <w:proofErr w:type="gramStart"/>
      <w:r w:rsidRPr="00057CAF">
        <w:rPr>
          <w:rFonts w:eastAsiaTheme="minorHAnsi" w:cstheme="minorBidi"/>
          <w:b/>
          <w:szCs w:val="22"/>
          <w:u w:val="single"/>
          <w:lang w:val="fr-FR"/>
        </w:rPr>
        <w:t>adoptées</w:t>
      </w:r>
      <w:r w:rsidRPr="00057CAF">
        <w:rPr>
          <w:rFonts w:eastAsiaTheme="minorHAnsi" w:cstheme="minorBidi"/>
          <w:szCs w:val="22"/>
          <w:lang w:val="fr-FR"/>
        </w:rPr>
        <w:t>:</w:t>
      </w:r>
      <w:proofErr w:type="gramEnd"/>
      <w:r w:rsidRPr="00057CAF">
        <w:rPr>
          <w:rFonts w:eastAsiaTheme="minorHAnsi" w:cstheme="minorBidi"/>
          <w:szCs w:val="22"/>
          <w:lang w:val="fr-FR"/>
        </w:rPr>
        <w:t xml:space="preserve"> proportion d’agriculteurs déclarant ne pas comprendre l’utilité d’au moins une des MAEC adoptées: 30,8% (Q67, N=26</w:t>
      </w:r>
      <w:r w:rsidRPr="00EB4CAC">
        <w:rPr>
          <w:rFonts w:eastAsiaTheme="minorHAnsi" w:cstheme="minorBidi"/>
          <w:szCs w:val="22"/>
          <w:vertAlign w:val="superscript"/>
        </w:rPr>
        <w:footnoteReference w:id="11"/>
      </w:r>
      <w:r w:rsidRPr="00057CAF">
        <w:rPr>
          <w:rFonts w:eastAsiaTheme="minorHAnsi" w:cstheme="minorBidi"/>
          <w:szCs w:val="22"/>
          <w:lang w:val="fr-FR"/>
        </w:rPr>
        <w:t>)</w:t>
      </w:r>
      <w:r w:rsidR="00AD2408" w:rsidRPr="00057CAF">
        <w:rPr>
          <w:rFonts w:eastAsiaTheme="minorHAnsi" w:cstheme="minorBidi"/>
          <w:szCs w:val="22"/>
          <w:lang w:val="fr-FR"/>
        </w:rPr>
        <w:t>.</w:t>
      </w:r>
    </w:p>
    <w:p w:rsidR="00AD2408" w:rsidRPr="00057CAF" w:rsidRDefault="00AD2408" w:rsidP="00AD2408">
      <w:pPr>
        <w:rPr>
          <w:rFonts w:eastAsiaTheme="minorHAnsi"/>
          <w:lang w:val="fr-FR"/>
        </w:rPr>
      </w:pPr>
      <w:r w:rsidRPr="00057CAF">
        <w:rPr>
          <w:rFonts w:eastAsiaTheme="minorHAnsi"/>
          <w:lang w:val="fr-FR"/>
        </w:rPr>
        <w:t xml:space="preserve">Le rôle des MAEC est donc globalement compris mais une forte minorité ne comprend pas l’utilité de toutes les MAEC qu’elle met en œuvre.  </w:t>
      </w:r>
    </w:p>
    <w:p w:rsidR="00FE454A" w:rsidRPr="00057CAF" w:rsidRDefault="00FE454A" w:rsidP="00AD2408">
      <w:pPr>
        <w:rPr>
          <w:rFonts w:eastAsiaTheme="minorHAnsi"/>
          <w:lang w:val="fr-FR"/>
        </w:rPr>
      </w:pPr>
    </w:p>
    <w:p w:rsidR="00EB4CAC" w:rsidRPr="00057CAF" w:rsidRDefault="00EB4CAC" w:rsidP="00EB4CAC">
      <w:pPr>
        <w:spacing w:after="160" w:line="259" w:lineRule="auto"/>
        <w:jc w:val="left"/>
        <w:rPr>
          <w:rFonts w:eastAsiaTheme="minorHAnsi" w:cstheme="minorBidi"/>
          <w:b/>
          <w:szCs w:val="22"/>
          <w:u w:val="single"/>
          <w:lang w:val="fr-FR"/>
        </w:rPr>
      </w:pPr>
      <w:r w:rsidRPr="00057CAF">
        <w:rPr>
          <w:rFonts w:eastAsiaTheme="minorHAnsi" w:cstheme="minorBidi"/>
          <w:b/>
          <w:szCs w:val="22"/>
          <w:u w:val="single"/>
          <w:lang w:val="fr-FR"/>
        </w:rPr>
        <w:t>Effet des MAEC sur les terres sous contrat</w:t>
      </w:r>
    </w:p>
    <w:tbl>
      <w:tblPr>
        <w:tblStyle w:val="Grilledutableau"/>
        <w:tblW w:w="0" w:type="auto"/>
        <w:tblLook w:val="04A0" w:firstRow="1" w:lastRow="0" w:firstColumn="1" w:lastColumn="0" w:noHBand="0" w:noVBand="1"/>
      </w:tblPr>
      <w:tblGrid>
        <w:gridCol w:w="6051"/>
        <w:gridCol w:w="990"/>
        <w:gridCol w:w="945"/>
        <w:gridCol w:w="1076"/>
      </w:tblGrid>
      <w:tr w:rsidR="00EB4CAC" w:rsidRPr="00EB4CAC" w:rsidTr="00EA11E1">
        <w:tc>
          <w:tcPr>
            <w:tcW w:w="6091" w:type="dxa"/>
          </w:tcPr>
          <w:p w:rsidR="00EB4CAC" w:rsidRPr="00057CAF" w:rsidRDefault="00EB4CAC" w:rsidP="00EB4CAC">
            <w:pPr>
              <w:jc w:val="left"/>
              <w:rPr>
                <w:rFonts w:eastAsiaTheme="minorHAnsi" w:cstheme="minorBidi"/>
                <w:szCs w:val="22"/>
                <w:lang w:val="fr-FR"/>
              </w:rPr>
            </w:pPr>
          </w:p>
        </w:tc>
        <w:tc>
          <w:tcPr>
            <w:tcW w:w="992" w:type="dxa"/>
          </w:tcPr>
          <w:p w:rsidR="00EB4CAC" w:rsidRPr="00057CAF" w:rsidRDefault="00EB4CAC" w:rsidP="00EB4CAC">
            <w:pPr>
              <w:jc w:val="left"/>
              <w:rPr>
                <w:rFonts w:eastAsiaTheme="minorHAnsi" w:cstheme="minorBidi"/>
                <w:szCs w:val="22"/>
                <w:lang w:val="fr-FR"/>
              </w:rPr>
            </w:pPr>
          </w:p>
        </w:tc>
        <w:tc>
          <w:tcPr>
            <w:tcW w:w="948" w:type="dxa"/>
          </w:tcPr>
          <w:p w:rsidR="00EB4CAC" w:rsidRPr="00EB4CAC" w:rsidRDefault="00EB4CAC" w:rsidP="00EB4CAC">
            <w:pPr>
              <w:jc w:val="left"/>
              <w:rPr>
                <w:rFonts w:eastAsiaTheme="minorHAnsi" w:cstheme="minorBidi"/>
                <w:szCs w:val="22"/>
                <w:lang w:val="en-US"/>
              </w:rPr>
            </w:pPr>
            <w:r w:rsidRPr="00EB4CAC">
              <w:rPr>
                <w:rFonts w:eastAsiaTheme="minorHAnsi" w:cstheme="minorBidi"/>
                <w:szCs w:val="22"/>
                <w:lang w:val="en-US"/>
              </w:rPr>
              <w:t>N</w:t>
            </w:r>
          </w:p>
        </w:tc>
        <w:tc>
          <w:tcPr>
            <w:tcW w:w="1031" w:type="dxa"/>
          </w:tcPr>
          <w:p w:rsidR="00EB4CAC" w:rsidRPr="00EB4CAC" w:rsidRDefault="00EB4CAC" w:rsidP="00EB4CAC">
            <w:pPr>
              <w:jc w:val="left"/>
              <w:rPr>
                <w:rFonts w:eastAsiaTheme="minorHAnsi" w:cstheme="minorBidi"/>
                <w:szCs w:val="22"/>
                <w:lang w:val="en-US"/>
              </w:rPr>
            </w:pPr>
            <w:r w:rsidRPr="00EB4CAC">
              <w:rPr>
                <w:rFonts w:eastAsiaTheme="minorHAnsi" w:cstheme="minorBidi"/>
                <w:szCs w:val="22"/>
                <w:lang w:val="en-US"/>
              </w:rPr>
              <w:t>Question</w:t>
            </w:r>
          </w:p>
        </w:tc>
      </w:tr>
      <w:tr w:rsidR="00EB4CAC" w:rsidRPr="00EB4CAC" w:rsidTr="00EA11E1">
        <w:tc>
          <w:tcPr>
            <w:tcW w:w="6091" w:type="dxa"/>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 xml:space="preserve">Changement de pratique </w:t>
            </w:r>
            <w:proofErr w:type="gramStart"/>
            <w:r w:rsidRPr="00057CAF">
              <w:rPr>
                <w:rFonts w:eastAsiaTheme="minorHAnsi" w:cstheme="minorBidi"/>
                <w:szCs w:val="22"/>
                <w:lang w:val="fr-FR"/>
              </w:rPr>
              <w:t>suite à une</w:t>
            </w:r>
            <w:proofErr w:type="gramEnd"/>
            <w:r w:rsidRPr="00057CAF">
              <w:rPr>
                <w:rFonts w:eastAsiaTheme="minorHAnsi" w:cstheme="minorBidi"/>
                <w:szCs w:val="22"/>
                <w:lang w:val="fr-FR"/>
              </w:rPr>
              <w:t xml:space="preserve"> MAEC nouvelle</w:t>
            </w:r>
          </w:p>
        </w:tc>
        <w:tc>
          <w:tcPr>
            <w:tcW w:w="992"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25,8%</w:t>
            </w:r>
          </w:p>
        </w:tc>
        <w:tc>
          <w:tcPr>
            <w:tcW w:w="948"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240</w:t>
            </w:r>
          </w:p>
        </w:tc>
        <w:tc>
          <w:tcPr>
            <w:tcW w:w="1031"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Q63</w:t>
            </w:r>
          </w:p>
        </w:tc>
      </w:tr>
      <w:tr w:rsidR="00EB4CAC" w:rsidRPr="00EB4CAC" w:rsidTr="00EA11E1">
        <w:tc>
          <w:tcPr>
            <w:tcW w:w="6091" w:type="dxa"/>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 xml:space="preserve">Changement de pratique </w:t>
            </w:r>
            <w:proofErr w:type="gramStart"/>
            <w:r w:rsidRPr="00057CAF">
              <w:rPr>
                <w:rFonts w:eastAsiaTheme="minorHAnsi" w:cstheme="minorBidi"/>
                <w:szCs w:val="22"/>
                <w:lang w:val="fr-FR"/>
              </w:rPr>
              <w:t>suite à une</w:t>
            </w:r>
            <w:proofErr w:type="gramEnd"/>
            <w:r w:rsidRPr="00057CAF">
              <w:rPr>
                <w:rFonts w:eastAsiaTheme="minorHAnsi" w:cstheme="minorBidi"/>
                <w:szCs w:val="22"/>
                <w:lang w:val="fr-FR"/>
              </w:rPr>
              <w:t xml:space="preserve"> MAEC nouvelle et qui n’aurait pas lieu sans elle</w:t>
            </w:r>
          </w:p>
        </w:tc>
        <w:tc>
          <w:tcPr>
            <w:tcW w:w="992"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16,7%</w:t>
            </w:r>
          </w:p>
        </w:tc>
        <w:tc>
          <w:tcPr>
            <w:tcW w:w="948"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240</w:t>
            </w:r>
          </w:p>
        </w:tc>
        <w:tc>
          <w:tcPr>
            <w:tcW w:w="1031"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Q63-Q65</w:t>
            </w:r>
          </w:p>
        </w:tc>
      </w:tr>
      <w:tr w:rsidR="00EB4CAC" w:rsidRPr="00EB4CAC" w:rsidTr="00EA11E1">
        <w:tc>
          <w:tcPr>
            <w:tcW w:w="6091" w:type="dxa"/>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Maintien de pratique grâce à une MAEC nouvelle</w:t>
            </w:r>
          </w:p>
        </w:tc>
        <w:tc>
          <w:tcPr>
            <w:tcW w:w="992"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21,4%</w:t>
            </w:r>
          </w:p>
        </w:tc>
        <w:tc>
          <w:tcPr>
            <w:tcW w:w="948"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173</w:t>
            </w:r>
          </w:p>
        </w:tc>
        <w:tc>
          <w:tcPr>
            <w:tcW w:w="1031"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Q64</w:t>
            </w:r>
          </w:p>
        </w:tc>
      </w:tr>
    </w:tbl>
    <w:p w:rsidR="00AD2408" w:rsidRPr="00057CAF" w:rsidRDefault="00AD2408" w:rsidP="00AD2408">
      <w:pPr>
        <w:rPr>
          <w:rFonts w:eastAsiaTheme="minorHAnsi"/>
          <w:lang w:val="fr-FR"/>
        </w:rPr>
      </w:pPr>
      <w:r w:rsidRPr="00057CAF">
        <w:rPr>
          <w:rFonts w:eastAsiaTheme="minorHAnsi"/>
          <w:lang w:val="fr-FR"/>
        </w:rPr>
        <w:t>Il apparait que seule une minorité (mais une minorité appréciable) d’agriculteurs voient leurs pratiques influencées par le contrat MAEC (en termes de changements ou de maintien de pratiques)</w:t>
      </w:r>
    </w:p>
    <w:p w:rsidR="00FE454A" w:rsidRPr="00057CAF" w:rsidRDefault="00FE454A" w:rsidP="00AD2408">
      <w:pPr>
        <w:rPr>
          <w:rFonts w:eastAsiaTheme="minorHAnsi"/>
          <w:lang w:val="fr-FR"/>
        </w:rPr>
      </w:pPr>
    </w:p>
    <w:p w:rsidR="00EB4CAC" w:rsidRPr="00057CAF" w:rsidRDefault="00AD2408" w:rsidP="00AD2408">
      <w:pPr>
        <w:rPr>
          <w:rFonts w:eastAsiaTheme="minorHAnsi"/>
          <w:lang w:val="fr-FR"/>
        </w:rPr>
      </w:pPr>
      <w:r w:rsidRPr="00057CAF">
        <w:rPr>
          <w:rFonts w:eastAsiaTheme="minorHAnsi"/>
          <w:lang w:val="fr-FR"/>
        </w:rPr>
        <w:t>Problème : ambiguïté ou confusion dans la distinction entre Q63 et Q65 ; on aurait pu s’attendre à ce que tous ceux qui répondent oui à Q63 répondent également oui à Q65</w:t>
      </w:r>
    </w:p>
    <w:p w:rsidR="00FE454A" w:rsidRPr="00057CAF" w:rsidRDefault="00FE454A" w:rsidP="00AD2408">
      <w:pPr>
        <w:rPr>
          <w:rFonts w:eastAsiaTheme="minorHAnsi"/>
          <w:lang w:val="fr-FR"/>
        </w:rPr>
      </w:pPr>
    </w:p>
    <w:p w:rsidR="00EB4CAC" w:rsidRPr="00057CAF" w:rsidRDefault="00EB4CAC" w:rsidP="00EB4CAC">
      <w:pPr>
        <w:spacing w:after="160" w:line="259" w:lineRule="auto"/>
        <w:jc w:val="left"/>
        <w:rPr>
          <w:rFonts w:eastAsiaTheme="minorHAnsi" w:cstheme="minorBidi"/>
          <w:b/>
          <w:szCs w:val="22"/>
          <w:u w:val="single"/>
          <w:lang w:val="fr-FR"/>
        </w:rPr>
      </w:pPr>
      <w:r w:rsidRPr="00057CAF">
        <w:rPr>
          <w:rFonts w:eastAsiaTheme="minorHAnsi" w:cstheme="minorBidi"/>
          <w:b/>
          <w:szCs w:val="22"/>
          <w:u w:val="single"/>
          <w:lang w:val="fr-FR"/>
        </w:rPr>
        <w:t>Effet des MAEC sur les terres hors contrat</w:t>
      </w:r>
    </w:p>
    <w:tbl>
      <w:tblPr>
        <w:tblStyle w:val="Grilledutableau"/>
        <w:tblW w:w="0" w:type="auto"/>
        <w:tblLook w:val="04A0" w:firstRow="1" w:lastRow="0" w:firstColumn="1" w:lastColumn="0" w:noHBand="0" w:noVBand="1"/>
      </w:tblPr>
      <w:tblGrid>
        <w:gridCol w:w="6052"/>
        <w:gridCol w:w="990"/>
        <w:gridCol w:w="944"/>
        <w:gridCol w:w="1076"/>
      </w:tblGrid>
      <w:tr w:rsidR="00EB4CAC" w:rsidRPr="00EB4CAC" w:rsidTr="00EA11E1">
        <w:tc>
          <w:tcPr>
            <w:tcW w:w="6091" w:type="dxa"/>
          </w:tcPr>
          <w:p w:rsidR="00EB4CAC" w:rsidRPr="00057CAF" w:rsidRDefault="00EB4CAC" w:rsidP="00EB4CAC">
            <w:pPr>
              <w:jc w:val="left"/>
              <w:rPr>
                <w:rFonts w:eastAsiaTheme="minorHAnsi" w:cstheme="minorBidi"/>
                <w:szCs w:val="22"/>
                <w:lang w:val="fr-FR"/>
              </w:rPr>
            </w:pPr>
          </w:p>
        </w:tc>
        <w:tc>
          <w:tcPr>
            <w:tcW w:w="992" w:type="dxa"/>
          </w:tcPr>
          <w:p w:rsidR="00EB4CAC" w:rsidRPr="00057CAF" w:rsidRDefault="00EB4CAC" w:rsidP="00EB4CAC">
            <w:pPr>
              <w:jc w:val="left"/>
              <w:rPr>
                <w:rFonts w:eastAsiaTheme="minorHAnsi" w:cstheme="minorBidi"/>
                <w:szCs w:val="22"/>
                <w:lang w:val="fr-FR"/>
              </w:rPr>
            </w:pPr>
          </w:p>
        </w:tc>
        <w:tc>
          <w:tcPr>
            <w:tcW w:w="948" w:type="dxa"/>
          </w:tcPr>
          <w:p w:rsidR="00EB4CAC" w:rsidRPr="00EB4CAC" w:rsidRDefault="00EB4CAC" w:rsidP="00EB4CAC">
            <w:pPr>
              <w:jc w:val="left"/>
              <w:rPr>
                <w:rFonts w:eastAsiaTheme="minorHAnsi" w:cstheme="minorBidi"/>
                <w:szCs w:val="22"/>
                <w:lang w:val="en-US"/>
              </w:rPr>
            </w:pPr>
            <w:r w:rsidRPr="00EB4CAC">
              <w:rPr>
                <w:rFonts w:eastAsiaTheme="minorHAnsi" w:cstheme="minorBidi"/>
                <w:szCs w:val="22"/>
                <w:lang w:val="en-US"/>
              </w:rPr>
              <w:t>N</w:t>
            </w:r>
          </w:p>
        </w:tc>
        <w:tc>
          <w:tcPr>
            <w:tcW w:w="1031" w:type="dxa"/>
          </w:tcPr>
          <w:p w:rsidR="00EB4CAC" w:rsidRPr="00EB4CAC" w:rsidRDefault="00EB4CAC" w:rsidP="00EB4CAC">
            <w:pPr>
              <w:jc w:val="left"/>
              <w:rPr>
                <w:rFonts w:eastAsiaTheme="minorHAnsi" w:cstheme="minorBidi"/>
                <w:szCs w:val="22"/>
                <w:lang w:val="en-US"/>
              </w:rPr>
            </w:pPr>
            <w:r w:rsidRPr="00EB4CAC">
              <w:rPr>
                <w:rFonts w:eastAsiaTheme="minorHAnsi" w:cstheme="minorBidi"/>
                <w:szCs w:val="22"/>
                <w:lang w:val="en-US"/>
              </w:rPr>
              <w:t>Question</w:t>
            </w:r>
          </w:p>
        </w:tc>
      </w:tr>
      <w:tr w:rsidR="00EB4CAC" w:rsidRPr="00EB4CAC" w:rsidTr="00EA11E1">
        <w:tc>
          <w:tcPr>
            <w:tcW w:w="6091" w:type="dxa"/>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Maintien des pratiques en cas de non-renouvellement </w:t>
            </w:r>
          </w:p>
        </w:tc>
        <w:tc>
          <w:tcPr>
            <w:tcW w:w="992"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61,5%</w:t>
            </w:r>
          </w:p>
        </w:tc>
        <w:tc>
          <w:tcPr>
            <w:tcW w:w="948"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91</w:t>
            </w:r>
          </w:p>
        </w:tc>
        <w:tc>
          <w:tcPr>
            <w:tcW w:w="1031"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Q62</w:t>
            </w:r>
          </w:p>
        </w:tc>
      </w:tr>
      <w:tr w:rsidR="00EB4CAC" w:rsidRPr="00EB4CAC" w:rsidTr="00EA11E1">
        <w:tc>
          <w:tcPr>
            <w:tcW w:w="6091" w:type="dxa"/>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Influence des MAEC sur les parcelles hors contrat</w:t>
            </w:r>
          </w:p>
        </w:tc>
        <w:tc>
          <w:tcPr>
            <w:tcW w:w="992"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37,1%</w:t>
            </w:r>
          </w:p>
        </w:tc>
        <w:tc>
          <w:tcPr>
            <w:tcW w:w="948"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35</w:t>
            </w:r>
          </w:p>
        </w:tc>
        <w:tc>
          <w:tcPr>
            <w:tcW w:w="1031"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Q66</w:t>
            </w:r>
          </w:p>
        </w:tc>
      </w:tr>
      <w:tr w:rsidR="00EB4CAC" w:rsidRPr="00EB4CAC" w:rsidTr="00EA11E1">
        <w:tc>
          <w:tcPr>
            <w:tcW w:w="6091" w:type="dxa"/>
          </w:tcPr>
          <w:p w:rsidR="00EB4CAC" w:rsidRPr="00057CAF" w:rsidRDefault="00EB4CAC" w:rsidP="00EB4CAC">
            <w:pPr>
              <w:jc w:val="left"/>
              <w:rPr>
                <w:rFonts w:eastAsiaTheme="minorHAnsi" w:cstheme="minorBidi"/>
                <w:szCs w:val="22"/>
                <w:lang w:val="fr-FR"/>
              </w:rPr>
            </w:pPr>
            <w:r w:rsidRPr="00057CAF">
              <w:rPr>
                <w:rFonts w:eastAsiaTheme="minorHAnsi" w:cstheme="minorBidi"/>
                <w:szCs w:val="22"/>
                <w:lang w:val="fr-FR"/>
              </w:rPr>
              <w:t>Initiatives prises ou envisagées pour accéder à des MAEC qu’on n’a pas encore</w:t>
            </w:r>
          </w:p>
        </w:tc>
        <w:tc>
          <w:tcPr>
            <w:tcW w:w="992"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25,6%</w:t>
            </w:r>
          </w:p>
        </w:tc>
        <w:tc>
          <w:tcPr>
            <w:tcW w:w="948"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269</w:t>
            </w:r>
          </w:p>
        </w:tc>
        <w:tc>
          <w:tcPr>
            <w:tcW w:w="1031" w:type="dxa"/>
          </w:tcPr>
          <w:p w:rsidR="00EB4CAC" w:rsidRPr="00EB4CAC" w:rsidRDefault="00EB4CAC" w:rsidP="00EB4CAC">
            <w:pPr>
              <w:jc w:val="left"/>
              <w:rPr>
                <w:rFonts w:eastAsiaTheme="minorHAnsi" w:cstheme="minorBidi"/>
                <w:szCs w:val="22"/>
              </w:rPr>
            </w:pPr>
            <w:r w:rsidRPr="00EB4CAC">
              <w:rPr>
                <w:rFonts w:eastAsiaTheme="minorHAnsi" w:cstheme="minorBidi"/>
                <w:szCs w:val="22"/>
              </w:rPr>
              <w:t>Q69</w:t>
            </w:r>
          </w:p>
        </w:tc>
      </w:tr>
    </w:tbl>
    <w:p w:rsidR="00FE454A" w:rsidRDefault="00FE454A" w:rsidP="00AD2408">
      <w:pPr>
        <w:rPr>
          <w:rFonts w:eastAsiaTheme="minorHAnsi"/>
        </w:rPr>
      </w:pPr>
    </w:p>
    <w:p w:rsidR="00AD2408" w:rsidRPr="00057CAF" w:rsidRDefault="00AD2408" w:rsidP="00AD2408">
      <w:pPr>
        <w:rPr>
          <w:rFonts w:eastAsiaTheme="minorHAnsi"/>
          <w:lang w:val="fr-FR"/>
        </w:rPr>
      </w:pPr>
      <w:r w:rsidRPr="00057CAF">
        <w:rPr>
          <w:rFonts w:eastAsiaTheme="minorHAnsi"/>
          <w:lang w:val="fr-FR"/>
        </w:rPr>
        <w:lastRenderedPageBreak/>
        <w:t>Les MAEC ont donc un effet important sur les terres hors contrat (après des contrats, en parallèle de contrats ou avant contrats). En particulier l’abandon d’une MAE n’implique souvent pas l’abandon de la pratique. Ceci concerne surtout MB1</w:t>
      </w:r>
      <w:r w:rsidR="00951D8D" w:rsidRPr="00057CAF">
        <w:rPr>
          <w:rFonts w:eastAsiaTheme="minorHAnsi"/>
          <w:lang w:val="fr-FR"/>
        </w:rPr>
        <w:t>.</w:t>
      </w:r>
    </w:p>
    <w:p w:rsidR="00FE454A" w:rsidRPr="00057CAF" w:rsidRDefault="00FE454A" w:rsidP="00AD2408">
      <w:pPr>
        <w:rPr>
          <w:rFonts w:eastAsiaTheme="minorHAnsi"/>
          <w:lang w:val="fr-FR"/>
        </w:rPr>
      </w:pPr>
    </w:p>
    <w:p w:rsidR="00AD2408" w:rsidRPr="00057CAF" w:rsidRDefault="00AD2408" w:rsidP="00AD2408">
      <w:pPr>
        <w:rPr>
          <w:rFonts w:eastAsiaTheme="minorHAnsi"/>
          <w:lang w:val="fr-FR"/>
        </w:rPr>
      </w:pPr>
      <w:r w:rsidRPr="00057CAF">
        <w:rPr>
          <w:rFonts w:eastAsiaTheme="minorHAnsi"/>
          <w:b/>
          <w:lang w:val="fr-FR"/>
        </w:rPr>
        <w:t>La déconnexion entre effets des MAEC et mise en œuvre des contrats met à mal la logique des préconisations méthodologiques du help desk</w:t>
      </w:r>
      <w:r w:rsidRPr="00057CAF">
        <w:rPr>
          <w:rFonts w:eastAsiaTheme="minorHAnsi"/>
          <w:lang w:val="fr-FR"/>
        </w:rPr>
        <w:t>.</w:t>
      </w:r>
    </w:p>
    <w:p w:rsidR="00FE454A" w:rsidRPr="00057CAF" w:rsidRDefault="00FE454A" w:rsidP="00AD2408">
      <w:pPr>
        <w:rPr>
          <w:rFonts w:eastAsiaTheme="minorHAnsi"/>
          <w:lang w:val="fr-FR"/>
        </w:rPr>
      </w:pPr>
    </w:p>
    <w:p w:rsidR="00EB4CAC" w:rsidRPr="00057CAF" w:rsidRDefault="00AD2408" w:rsidP="00AD2408">
      <w:pPr>
        <w:rPr>
          <w:rFonts w:eastAsiaTheme="minorHAnsi"/>
          <w:lang w:val="fr-FR"/>
        </w:rPr>
      </w:pPr>
      <w:r w:rsidRPr="00057CAF">
        <w:rPr>
          <w:rFonts w:eastAsiaTheme="minorHAnsi"/>
          <w:lang w:val="fr-FR"/>
        </w:rPr>
        <w:t xml:space="preserve">Les effets antérieurs et postérieurs aux contrats montre l’importance des effets diachroniques, ce qui plaide pour une évaluation non pas des PDR individuels (par comparaison à un contrefactuel fictif sans PDR) mais de leurs effets sur les dynamiques à moyen et </w:t>
      </w:r>
      <w:proofErr w:type="gramStart"/>
      <w:r w:rsidRPr="00057CAF">
        <w:rPr>
          <w:rFonts w:eastAsiaTheme="minorHAnsi"/>
          <w:lang w:val="fr-FR"/>
        </w:rPr>
        <w:t>long termes</w:t>
      </w:r>
      <w:proofErr w:type="gramEnd"/>
      <w:r w:rsidRPr="00057CAF">
        <w:rPr>
          <w:rFonts w:eastAsiaTheme="minorHAnsi"/>
          <w:lang w:val="fr-FR"/>
        </w:rPr>
        <w:t>.</w:t>
      </w:r>
    </w:p>
    <w:p w:rsidR="00FE454A" w:rsidRPr="00057CAF" w:rsidRDefault="00FE454A" w:rsidP="00AD2408">
      <w:pPr>
        <w:rPr>
          <w:rFonts w:eastAsiaTheme="minorHAnsi"/>
          <w:lang w:val="fr-FR"/>
        </w:rPr>
      </w:pPr>
    </w:p>
    <w:p w:rsidR="00951D8D" w:rsidRPr="00057CAF" w:rsidRDefault="00951D8D" w:rsidP="00AD2408">
      <w:pPr>
        <w:rPr>
          <w:rFonts w:eastAsiaTheme="minorHAnsi"/>
          <w:b/>
          <w:lang w:val="fr-FR"/>
        </w:rPr>
      </w:pPr>
      <w:r w:rsidRPr="00057CAF">
        <w:rPr>
          <w:rFonts w:eastAsiaTheme="minorHAnsi"/>
          <w:lang w:val="fr-FR"/>
        </w:rPr>
        <w:t xml:space="preserve">Il est également intéressant de remarquer que </w:t>
      </w:r>
      <w:r w:rsidRPr="00057CAF">
        <w:rPr>
          <w:rFonts w:eastAsiaTheme="minorHAnsi"/>
          <w:b/>
          <w:lang w:val="fr-FR"/>
        </w:rPr>
        <w:t>la fréquence de</w:t>
      </w:r>
      <w:r w:rsidR="00D7163A" w:rsidRPr="00057CAF">
        <w:rPr>
          <w:rFonts w:eastAsiaTheme="minorHAnsi"/>
          <w:b/>
          <w:lang w:val="fr-FR"/>
        </w:rPr>
        <w:t>s</w:t>
      </w:r>
      <w:r w:rsidRPr="00057CAF">
        <w:rPr>
          <w:rFonts w:eastAsiaTheme="minorHAnsi"/>
          <w:b/>
          <w:lang w:val="fr-FR"/>
        </w:rPr>
        <w:t xml:space="preserve"> mention</w:t>
      </w:r>
      <w:r w:rsidR="00D7163A" w:rsidRPr="00057CAF">
        <w:rPr>
          <w:rFonts w:eastAsiaTheme="minorHAnsi"/>
          <w:b/>
          <w:lang w:val="fr-FR"/>
        </w:rPr>
        <w:t>s</w:t>
      </w:r>
      <w:r w:rsidRPr="00057CAF">
        <w:rPr>
          <w:rFonts w:eastAsiaTheme="minorHAnsi"/>
          <w:b/>
          <w:lang w:val="fr-FR"/>
        </w:rPr>
        <w:t xml:space="preserve"> d’effets hors terres </w:t>
      </w:r>
      <w:r w:rsidR="00D7163A" w:rsidRPr="00057CAF">
        <w:rPr>
          <w:rFonts w:eastAsiaTheme="minorHAnsi"/>
          <w:b/>
          <w:lang w:val="fr-FR"/>
        </w:rPr>
        <w:t xml:space="preserve">est, chez les répondants, </w:t>
      </w:r>
      <w:r w:rsidRPr="00057CAF">
        <w:rPr>
          <w:rFonts w:eastAsiaTheme="minorHAnsi"/>
          <w:b/>
          <w:lang w:val="fr-FR"/>
        </w:rPr>
        <w:t>plus grande que celles des mentions d’effets sur les terres sous contrat.</w:t>
      </w:r>
    </w:p>
    <w:p w:rsidR="00FE454A" w:rsidRPr="00057CAF" w:rsidRDefault="00FE454A" w:rsidP="00AD2408">
      <w:pPr>
        <w:rPr>
          <w:rFonts w:eastAsiaTheme="minorHAnsi"/>
          <w:lang w:val="fr-FR"/>
        </w:rPr>
      </w:pPr>
    </w:p>
    <w:p w:rsidR="00EB4CAC" w:rsidRPr="00057CAF" w:rsidRDefault="00EB4CAC" w:rsidP="00EB4CAC">
      <w:pPr>
        <w:spacing w:after="160" w:line="259" w:lineRule="auto"/>
        <w:jc w:val="left"/>
        <w:rPr>
          <w:rFonts w:eastAsiaTheme="minorHAnsi" w:cstheme="minorBidi"/>
          <w:b/>
          <w:szCs w:val="22"/>
          <w:u w:val="single"/>
          <w:lang w:val="fr-FR"/>
        </w:rPr>
      </w:pPr>
      <w:r w:rsidRPr="00057CAF">
        <w:rPr>
          <w:rFonts w:eastAsiaTheme="minorHAnsi" w:cstheme="minorBidi"/>
          <w:b/>
          <w:szCs w:val="22"/>
          <w:u w:val="single"/>
          <w:lang w:val="fr-FR"/>
        </w:rPr>
        <w:t>Relation entre agriculture biologique et la MAEC d’autonomie fourragère</w:t>
      </w:r>
    </w:p>
    <w:p w:rsidR="00EB4CAC" w:rsidRPr="00057CAF" w:rsidRDefault="00EB4CAC" w:rsidP="00AD2408">
      <w:pPr>
        <w:rPr>
          <w:rFonts w:eastAsiaTheme="minorHAnsi"/>
          <w:lang w:val="fr-FR"/>
        </w:rPr>
      </w:pPr>
      <w:r w:rsidRPr="00057CAF">
        <w:rPr>
          <w:rFonts w:eastAsiaTheme="minorHAnsi"/>
          <w:lang w:val="fr-FR"/>
        </w:rPr>
        <w:t>Chez les 238 exploitants qui déclarent au moins 2/3 de leur chiffre d’affaire dans l’élevage bovin (&gt;2/3 dans une des deux catégories viande-lait, ou &gt;1/3 dans chacune des deux catégories), le taux d’adhésion à la MAEC « autonomie fourragère ») est de 33% parmi les bio (N=42</w:t>
      </w:r>
      <w:proofErr w:type="gramStart"/>
      <w:r w:rsidRPr="00057CAF">
        <w:rPr>
          <w:rFonts w:eastAsiaTheme="minorHAnsi"/>
          <w:lang w:val="fr-FR"/>
        </w:rPr>
        <w:t>),  et</w:t>
      </w:r>
      <w:proofErr w:type="gramEnd"/>
      <w:r w:rsidRPr="00057CAF">
        <w:rPr>
          <w:rFonts w:eastAsiaTheme="minorHAnsi"/>
          <w:lang w:val="fr-FR"/>
        </w:rPr>
        <w:t xml:space="preserve"> de 2 % chez les conventionnels. </w:t>
      </w:r>
    </w:p>
    <w:p w:rsidR="00FE454A" w:rsidRPr="00057CAF" w:rsidRDefault="00FE454A" w:rsidP="00AD2408">
      <w:pPr>
        <w:rPr>
          <w:rFonts w:eastAsiaTheme="minorHAnsi"/>
          <w:lang w:val="fr-FR"/>
        </w:rPr>
      </w:pPr>
    </w:p>
    <w:p w:rsidR="00AD2408" w:rsidRPr="00057CAF" w:rsidRDefault="00AD2408" w:rsidP="00AD2408">
      <w:pPr>
        <w:rPr>
          <w:rFonts w:eastAsiaTheme="minorHAnsi"/>
          <w:lang w:val="fr-FR"/>
        </w:rPr>
      </w:pPr>
      <w:r w:rsidRPr="00057CAF">
        <w:rPr>
          <w:rFonts w:eastAsiaTheme="minorHAnsi"/>
          <w:lang w:val="fr-FR"/>
        </w:rPr>
        <w:t>Ceci confirme que les éleveurs bio sont beaucoup plus enclins à adopter la MAEC d’autonomie fourragère que les conventionnels</w:t>
      </w:r>
      <w:r w:rsidR="00951D8D" w:rsidRPr="00057CAF">
        <w:rPr>
          <w:rFonts w:eastAsiaTheme="minorHAnsi"/>
          <w:lang w:val="fr-FR"/>
        </w:rPr>
        <w:t>.</w:t>
      </w:r>
    </w:p>
    <w:p w:rsidR="00FE454A" w:rsidRPr="00057CAF" w:rsidRDefault="00FE454A" w:rsidP="00AD2408">
      <w:pPr>
        <w:rPr>
          <w:rFonts w:eastAsiaTheme="minorHAnsi"/>
          <w:lang w:val="fr-FR"/>
        </w:rPr>
      </w:pPr>
    </w:p>
    <w:p w:rsidR="00EB4CAC" w:rsidRPr="00057CAF" w:rsidRDefault="00EB4CAC" w:rsidP="00EB4CAC">
      <w:pPr>
        <w:spacing w:after="160" w:line="259" w:lineRule="auto"/>
        <w:jc w:val="left"/>
        <w:rPr>
          <w:rFonts w:eastAsiaTheme="minorHAnsi" w:cstheme="minorBidi"/>
          <w:b/>
          <w:szCs w:val="22"/>
          <w:u w:val="single"/>
          <w:lang w:val="fr-FR"/>
        </w:rPr>
      </w:pPr>
      <w:r w:rsidRPr="00057CAF">
        <w:rPr>
          <w:rFonts w:eastAsiaTheme="minorHAnsi" w:cstheme="minorBidi"/>
          <w:b/>
          <w:szCs w:val="22"/>
          <w:u w:val="single"/>
          <w:lang w:val="fr-FR"/>
        </w:rPr>
        <w:t>Relation entre intensification de l’élevage et investissement dans les bâtiments</w:t>
      </w:r>
    </w:p>
    <w:p w:rsidR="00EB4CAC" w:rsidRPr="00057CAF" w:rsidRDefault="00EB4CAC" w:rsidP="00AD2408">
      <w:pPr>
        <w:spacing w:after="160" w:line="259" w:lineRule="auto"/>
        <w:rPr>
          <w:rFonts w:eastAsiaTheme="minorHAnsi" w:cstheme="minorBidi"/>
          <w:szCs w:val="22"/>
          <w:lang w:val="fr-FR"/>
        </w:rPr>
      </w:pPr>
      <w:r w:rsidRPr="00057CAF">
        <w:rPr>
          <w:rFonts w:eastAsiaTheme="minorHAnsi" w:cstheme="minorBidi"/>
          <w:szCs w:val="22"/>
          <w:lang w:val="fr-FR"/>
        </w:rPr>
        <w:t xml:space="preserve">Chez les 238 exploitants qui déclarent au moins 2/3 de leur chiffre d’affaire dans l’élevage bovin (&gt;2/3 dans une des deux catégories viande-lait, ou &gt;1/3 dans chacune des deux catégories), 42,8% investissent dans les bâtiments d’élevage chez les conventionnels (48% si l’orientation lait domine), 57,1% chez les bio (60% chez les bio orientés lait). </w:t>
      </w:r>
    </w:p>
    <w:p w:rsidR="00EB4CAC" w:rsidRPr="00057CAF" w:rsidRDefault="00EB4CAC" w:rsidP="00AD2408">
      <w:pPr>
        <w:spacing w:after="160" w:line="259" w:lineRule="auto"/>
        <w:rPr>
          <w:rFonts w:eastAsiaTheme="minorHAnsi" w:cstheme="minorBidi"/>
          <w:szCs w:val="22"/>
          <w:lang w:val="fr-FR"/>
        </w:rPr>
      </w:pPr>
      <w:r w:rsidRPr="00057CAF">
        <w:rPr>
          <w:rFonts w:eastAsiaTheme="minorHAnsi" w:cstheme="minorBidi"/>
          <w:szCs w:val="22"/>
          <w:lang w:val="fr-FR"/>
        </w:rPr>
        <w:t>Ce sont 37% des conventionnels « intensifs » (189 ni bio ni ’autonomie fourragère) et 65 % des extensifs (49 bio, autonomie fourragère ou les deux) qui investissent dans les bâtiments (au sein de l’échantillon)</w:t>
      </w:r>
      <w:r w:rsidR="00AD2408" w:rsidRPr="00057CAF">
        <w:rPr>
          <w:rFonts w:eastAsiaTheme="minorHAnsi" w:cstheme="minorBidi"/>
          <w:szCs w:val="22"/>
          <w:lang w:val="fr-FR"/>
        </w:rPr>
        <w:t xml:space="preserve">. </w:t>
      </w:r>
    </w:p>
    <w:p w:rsidR="00AD2408" w:rsidRPr="00057CAF" w:rsidRDefault="00AD2408" w:rsidP="00AD2408">
      <w:pPr>
        <w:spacing w:after="160" w:line="259" w:lineRule="auto"/>
        <w:rPr>
          <w:rFonts w:eastAsiaTheme="minorHAnsi" w:cstheme="minorBidi"/>
          <w:szCs w:val="22"/>
          <w:lang w:val="fr-FR"/>
        </w:rPr>
      </w:pPr>
      <w:r w:rsidRPr="00057CAF">
        <w:rPr>
          <w:rFonts w:eastAsiaTheme="minorHAnsi" w:cstheme="minorBidi"/>
          <w:b/>
          <w:szCs w:val="22"/>
          <w:lang w:val="fr-FR"/>
        </w:rPr>
        <w:t>L’investissement dans les bâtiments d’élevage ne serait donc (paradoxalement) pas un signe d’intensification, au contraire</w:t>
      </w:r>
      <w:r w:rsidR="00951D8D" w:rsidRPr="00057CAF">
        <w:rPr>
          <w:rFonts w:eastAsiaTheme="minorHAnsi" w:cstheme="minorBidi"/>
          <w:b/>
          <w:szCs w:val="22"/>
          <w:lang w:val="fr-FR"/>
        </w:rPr>
        <w:t>.</w:t>
      </w:r>
    </w:p>
    <w:p w:rsidR="00EB4CAC" w:rsidRPr="00057CAF" w:rsidRDefault="00EB4CAC" w:rsidP="00EB4CAC">
      <w:pPr>
        <w:spacing w:after="160" w:line="259" w:lineRule="auto"/>
        <w:jc w:val="left"/>
        <w:rPr>
          <w:rFonts w:eastAsiaTheme="minorHAnsi" w:cstheme="minorBidi"/>
          <w:b/>
          <w:szCs w:val="22"/>
          <w:u w:val="single"/>
          <w:lang w:val="fr-FR"/>
        </w:rPr>
      </w:pPr>
      <w:r w:rsidRPr="00057CAF">
        <w:rPr>
          <w:rFonts w:eastAsiaTheme="minorHAnsi" w:cstheme="minorBidi"/>
          <w:b/>
          <w:szCs w:val="22"/>
          <w:u w:val="single"/>
          <w:lang w:val="fr-FR"/>
        </w:rPr>
        <w:t>Suggestions d’amélioration</w:t>
      </w:r>
      <w:r w:rsidR="00951D8D" w:rsidRPr="00057CAF">
        <w:rPr>
          <w:rFonts w:eastAsiaTheme="minorHAnsi" w:cstheme="minorBidi"/>
          <w:b/>
          <w:szCs w:val="22"/>
          <w:u w:val="single"/>
          <w:lang w:val="fr-FR"/>
        </w:rPr>
        <w:t>.</w:t>
      </w:r>
    </w:p>
    <w:p w:rsidR="00EB4CAC" w:rsidRPr="00057CAF" w:rsidRDefault="00EB4CAC" w:rsidP="00AD2408">
      <w:pPr>
        <w:rPr>
          <w:rFonts w:eastAsiaTheme="minorHAnsi"/>
          <w:lang w:val="fr-FR"/>
        </w:rPr>
      </w:pPr>
      <w:r w:rsidRPr="00057CAF">
        <w:rPr>
          <w:rFonts w:eastAsiaTheme="minorHAnsi"/>
          <w:lang w:val="fr-FR"/>
        </w:rPr>
        <w:t>91 répondent mais 23 en disant qu’ils n’ont pas de suggestions. Sur les 68 qui répondent avec un avis, 17 se plaignent des contraintes (complexité, manque de souplesse), 13 des paiements (insuffisants, irréguliers ou aléatoires), 7 des contrôles (chiffre relativement petit, mais problème important pour les intéressés), 4 expriment un avis positif (il faut continuer).</w:t>
      </w:r>
    </w:p>
    <w:p w:rsidR="00FE454A" w:rsidRPr="00057CAF" w:rsidRDefault="00FE454A" w:rsidP="00AD2408">
      <w:pPr>
        <w:rPr>
          <w:rFonts w:eastAsiaTheme="minorHAnsi"/>
          <w:lang w:val="fr-FR"/>
        </w:rPr>
      </w:pPr>
    </w:p>
    <w:p w:rsidR="00AD2408" w:rsidRPr="00057CAF" w:rsidRDefault="00AD2408" w:rsidP="00AD2408">
      <w:pPr>
        <w:rPr>
          <w:rFonts w:eastAsiaTheme="minorHAnsi"/>
          <w:lang w:val="fr-FR"/>
        </w:rPr>
      </w:pPr>
      <w:r w:rsidRPr="00057CAF">
        <w:rPr>
          <w:rFonts w:eastAsiaTheme="minorHAnsi"/>
          <w:lang w:val="fr-FR"/>
        </w:rPr>
        <w:t>On constate ainsi une grande diversité de perceptions entre les sceptiques et les enthousiastes. Les contraintes, les difficultés de paiements et celles liées aux contrôles forment ensemble la principale cause d’insatisfaction.</w:t>
      </w:r>
    </w:p>
    <w:p w:rsidR="00A3455A" w:rsidRPr="00057CAF" w:rsidRDefault="00A3455A">
      <w:pPr>
        <w:spacing w:after="160" w:line="259" w:lineRule="auto"/>
        <w:jc w:val="left"/>
        <w:rPr>
          <w:rFonts w:asciiTheme="majorHAnsi" w:eastAsiaTheme="minorHAnsi" w:hAnsiTheme="majorHAnsi" w:cstheme="majorBidi"/>
          <w:color w:val="2E74B5" w:themeColor="accent1" w:themeShade="BF"/>
          <w:sz w:val="32"/>
          <w:szCs w:val="32"/>
          <w:lang w:val="fr-FR"/>
        </w:rPr>
      </w:pPr>
      <w:r w:rsidRPr="00057CAF">
        <w:rPr>
          <w:rFonts w:eastAsiaTheme="minorHAnsi"/>
          <w:lang w:val="fr-FR"/>
        </w:rPr>
        <w:br w:type="page"/>
      </w:r>
    </w:p>
    <w:p w:rsidR="0060724A" w:rsidRPr="00057CAF" w:rsidRDefault="00FB2283" w:rsidP="0050022D">
      <w:pPr>
        <w:pStyle w:val="Titre2"/>
        <w:rPr>
          <w:rFonts w:eastAsiaTheme="minorHAnsi"/>
          <w:lang w:val="fr-FR"/>
        </w:rPr>
      </w:pPr>
      <w:bookmarkStart w:id="136" w:name="_Toc11278984"/>
      <w:bookmarkStart w:id="137" w:name="_Toc11333829"/>
      <w:bookmarkStart w:id="138" w:name="_Toc25688801"/>
      <w:r w:rsidRPr="00057CAF">
        <w:rPr>
          <w:rFonts w:eastAsiaTheme="minorHAnsi"/>
          <w:lang w:val="fr-FR"/>
        </w:rPr>
        <w:lastRenderedPageBreak/>
        <w:t>Ebauche de r</w:t>
      </w:r>
      <w:r w:rsidR="0060724A" w:rsidRPr="00057CAF">
        <w:rPr>
          <w:rFonts w:eastAsiaTheme="minorHAnsi"/>
          <w:lang w:val="fr-FR"/>
        </w:rPr>
        <w:t>ecommandations</w:t>
      </w:r>
      <w:bookmarkEnd w:id="136"/>
      <w:bookmarkEnd w:id="137"/>
      <w:bookmarkEnd w:id="138"/>
      <w:r w:rsidR="0060724A" w:rsidRPr="00057CAF">
        <w:rPr>
          <w:rFonts w:eastAsiaTheme="minorHAnsi"/>
          <w:lang w:val="fr-FR"/>
        </w:rPr>
        <w:t xml:space="preserve"> </w:t>
      </w:r>
    </w:p>
    <w:p w:rsidR="00B43A8B" w:rsidRDefault="00D31F36" w:rsidP="00FE454A">
      <w:pPr>
        <w:pStyle w:val="Titre3"/>
        <w:rPr>
          <w:rFonts w:eastAsiaTheme="minorHAnsi"/>
        </w:rPr>
      </w:pPr>
      <w:bookmarkStart w:id="139" w:name="_Toc11278985"/>
      <w:bookmarkStart w:id="140" w:name="_Toc11333830"/>
      <w:bookmarkStart w:id="141" w:name="_Toc25688802"/>
      <w:r>
        <w:rPr>
          <w:rFonts w:eastAsiaTheme="minorHAnsi"/>
        </w:rPr>
        <w:t xml:space="preserve">La </w:t>
      </w:r>
      <w:r w:rsidR="00B43A8B">
        <w:rPr>
          <w:rFonts w:eastAsiaTheme="minorHAnsi"/>
        </w:rPr>
        <w:t>prospective</w:t>
      </w:r>
      <w:r w:rsidR="0035371D">
        <w:rPr>
          <w:rFonts w:eastAsiaTheme="minorHAnsi"/>
        </w:rPr>
        <w:t> : besoin d’arbitrage entre souhaits contradictoires</w:t>
      </w:r>
      <w:bookmarkEnd w:id="139"/>
      <w:bookmarkEnd w:id="140"/>
      <w:bookmarkEnd w:id="141"/>
    </w:p>
    <w:p w:rsidR="00B43A8B" w:rsidRPr="00057CAF" w:rsidRDefault="006F352E" w:rsidP="006F352E">
      <w:pPr>
        <w:rPr>
          <w:rFonts w:eastAsiaTheme="minorHAnsi"/>
          <w:lang w:val="fr-FR"/>
        </w:rPr>
      </w:pPr>
      <w:r w:rsidRPr="00057CAF">
        <w:rPr>
          <w:rFonts w:eastAsiaTheme="minorHAnsi"/>
          <w:lang w:val="fr-FR"/>
        </w:rPr>
        <w:t xml:space="preserve">Le PDR poursuit en parallèle de nombreux objectifs, qui risquent de n’être compatibles que dans la mesure où ils ne sont pas vraiment atteints. Il n’est pas conçu en fonction de sa contribution à un modèle plus durable, qui aille au-delà d’une atténuation à la marge des pressions environnementales des modèles en place. </w:t>
      </w:r>
    </w:p>
    <w:p w:rsidR="00FE454A" w:rsidRPr="00057CAF" w:rsidRDefault="00FE454A" w:rsidP="006F352E">
      <w:pPr>
        <w:rPr>
          <w:rFonts w:eastAsiaTheme="minorHAnsi"/>
          <w:lang w:val="fr-FR"/>
        </w:rPr>
      </w:pPr>
    </w:p>
    <w:p w:rsidR="00352E09" w:rsidRPr="00057CAF" w:rsidRDefault="00352E09" w:rsidP="006F352E">
      <w:pPr>
        <w:rPr>
          <w:rFonts w:eastAsiaTheme="minorHAnsi"/>
          <w:lang w:val="fr-FR"/>
        </w:rPr>
      </w:pPr>
      <w:r w:rsidRPr="00057CAF">
        <w:rPr>
          <w:rFonts w:eastAsiaTheme="minorHAnsi"/>
          <w:lang w:val="fr-FR"/>
        </w:rPr>
        <w:t>La recommandation est donc d’élaborer, sur une base aussi consensuelle et participative que possible, une vision à moyen ou long terme de l’avenir souhaitable, ambitieuse et en même temps réaliste compte tenu des contraintes peu modifiables comme le changement climatique.</w:t>
      </w:r>
      <w:r w:rsidR="00C830FB" w:rsidRPr="00057CAF">
        <w:rPr>
          <w:rFonts w:eastAsiaTheme="minorHAnsi"/>
          <w:lang w:val="fr-FR"/>
        </w:rPr>
        <w:t xml:space="preserve"> Ce réalisme exige des choix ou des arbitrages entre les diverses aspirations.</w:t>
      </w:r>
    </w:p>
    <w:p w:rsidR="00FE454A" w:rsidRPr="00057CAF" w:rsidRDefault="00FE454A" w:rsidP="006F352E">
      <w:pPr>
        <w:rPr>
          <w:rFonts w:eastAsiaTheme="minorHAnsi"/>
          <w:lang w:val="fr-FR"/>
        </w:rPr>
      </w:pPr>
    </w:p>
    <w:p w:rsidR="00352E09" w:rsidRPr="00057CAF" w:rsidRDefault="00A46ED2" w:rsidP="006F352E">
      <w:pPr>
        <w:rPr>
          <w:rFonts w:eastAsiaTheme="minorHAnsi"/>
          <w:lang w:val="fr-FR"/>
        </w:rPr>
      </w:pPr>
      <w:r w:rsidRPr="00057CAF">
        <w:rPr>
          <w:rFonts w:eastAsiaTheme="minorHAnsi"/>
          <w:lang w:val="fr-FR"/>
        </w:rPr>
        <w:t>Dans ce cadre</w:t>
      </w:r>
      <w:r w:rsidR="00352E09" w:rsidRPr="00057CAF">
        <w:rPr>
          <w:rFonts w:eastAsiaTheme="minorHAnsi"/>
          <w:lang w:val="fr-FR"/>
        </w:rPr>
        <w:t xml:space="preserve"> il s’agit notamment de :</w:t>
      </w:r>
    </w:p>
    <w:p w:rsidR="00B012CC" w:rsidRPr="00057CAF" w:rsidRDefault="00B012CC" w:rsidP="005F594E">
      <w:pPr>
        <w:pStyle w:val="bullets"/>
        <w:rPr>
          <w:lang w:val="fr-FR"/>
        </w:rPr>
      </w:pPr>
      <w:r w:rsidRPr="00057CAF">
        <w:rPr>
          <w:lang w:val="fr-FR"/>
        </w:rPr>
        <w:t>Définir au moins dans les grandes lignes un modèle agricole (au sens large) durable sous les contraintes du renoncement aux énergies fossiles et de l’adaptation au changement climatique ;</w:t>
      </w:r>
    </w:p>
    <w:p w:rsidR="00B012CC" w:rsidRPr="00057CAF" w:rsidRDefault="00B012CC" w:rsidP="005F594E">
      <w:pPr>
        <w:pStyle w:val="bullets"/>
        <w:rPr>
          <w:lang w:val="fr-FR"/>
        </w:rPr>
      </w:pPr>
      <w:r w:rsidRPr="00057CAF">
        <w:rPr>
          <w:lang w:val="fr-FR"/>
        </w:rPr>
        <w:t>Se défaire de la propension à définir les aspirations de biodiversité de manière rétrospective en prenant le passé pour modèle ; accepter comme irréversible la perte des reliques historiques, comme irréaliste l’idée de maintenir les communautés dans l’état de leur première description phytosociologique, comme normal que la plupart des espèces ne soient plus à leur maximum historique et nécessaire d’envisager le futur dans un climat changé ;</w:t>
      </w:r>
    </w:p>
    <w:p w:rsidR="00DC47D9" w:rsidRPr="00057CAF" w:rsidRDefault="00A46ED2" w:rsidP="005F594E">
      <w:pPr>
        <w:pStyle w:val="bullets"/>
        <w:rPr>
          <w:rFonts w:cstheme="minorHAnsi"/>
          <w:lang w:val="fr-FR"/>
        </w:rPr>
      </w:pPr>
      <w:r w:rsidRPr="00057CAF">
        <w:rPr>
          <w:lang w:val="fr-FR"/>
        </w:rPr>
        <w:t>Combiner les objectifs internationaux ou européens avec la prise en compte des demandes locales</w:t>
      </w:r>
      <w:r w:rsidR="00DC47D9" w:rsidRPr="00057CAF">
        <w:rPr>
          <w:lang w:val="fr-FR"/>
        </w:rPr>
        <w:t xml:space="preserve">, </w:t>
      </w:r>
      <w:r w:rsidRPr="00057CAF">
        <w:rPr>
          <w:lang w:val="fr-FR"/>
        </w:rPr>
        <w:t>notamment pour les services écosystémiques</w:t>
      </w:r>
      <w:r w:rsidR="00583CAF" w:rsidRPr="00057CAF">
        <w:rPr>
          <w:lang w:val="fr-FR"/>
        </w:rPr>
        <w:t xml:space="preserve"> ou la biodiversité, tout en acceptant de prendre un recul critique par rapport au système de valeurs et de représentations de la communauté scientifique de la biodiversité (</w:t>
      </w:r>
      <w:r w:rsidR="00DC47D9" w:rsidRPr="00057CAF">
        <w:rPr>
          <w:lang w:val="fr-FR"/>
        </w:rPr>
        <w:t xml:space="preserve">cela </w:t>
      </w:r>
      <w:r w:rsidR="00583CAF" w:rsidRPr="00057CAF">
        <w:rPr>
          <w:lang w:val="fr-FR"/>
        </w:rPr>
        <w:t>implique d’</w:t>
      </w:r>
      <w:r w:rsidR="00DC47D9" w:rsidRPr="00057CAF">
        <w:rPr>
          <w:lang w:val="fr-FR"/>
        </w:rPr>
        <w:t xml:space="preserve">appréhender </w:t>
      </w:r>
      <w:r w:rsidR="00583CAF" w:rsidRPr="00057CAF">
        <w:rPr>
          <w:lang w:val="fr-FR"/>
        </w:rPr>
        <w:t>l</w:t>
      </w:r>
      <w:r w:rsidR="00DC47D9" w:rsidRPr="00057CAF">
        <w:rPr>
          <w:lang w:val="fr-FR"/>
        </w:rPr>
        <w:t xml:space="preserve">es demandes </w:t>
      </w:r>
      <w:r w:rsidR="00583CAF" w:rsidRPr="00057CAF">
        <w:rPr>
          <w:lang w:val="fr-FR"/>
        </w:rPr>
        <w:t xml:space="preserve">sociales </w:t>
      </w:r>
      <w:r w:rsidR="00DC47D9" w:rsidRPr="00057CAF">
        <w:rPr>
          <w:lang w:val="fr-FR"/>
        </w:rPr>
        <w:t>avec un vocabulaire a</w:t>
      </w:r>
      <w:r w:rsidR="00583CAF" w:rsidRPr="00057CAF">
        <w:rPr>
          <w:lang w:val="fr-FR"/>
        </w:rPr>
        <w:t xml:space="preserve">dapté aux </w:t>
      </w:r>
      <w:r w:rsidR="00DC47D9" w:rsidRPr="00057CAF">
        <w:rPr>
          <w:lang w:val="fr-FR"/>
        </w:rPr>
        <w:t>concernés</w:t>
      </w:r>
      <w:r w:rsidR="00583CAF">
        <w:rPr>
          <w:rStyle w:val="Appelnotedebasdep"/>
          <w:rFonts w:eastAsiaTheme="minorHAnsi" w:cstheme="minorBidi"/>
          <w:szCs w:val="22"/>
        </w:rPr>
        <w:footnoteReference w:id="12"/>
      </w:r>
      <w:r w:rsidR="00583CAF" w:rsidRPr="00057CAF">
        <w:rPr>
          <w:lang w:val="fr-FR"/>
        </w:rPr>
        <w:t xml:space="preserve">. </w:t>
      </w:r>
    </w:p>
    <w:p w:rsidR="00352E09" w:rsidRPr="00057CAF" w:rsidRDefault="00512294" w:rsidP="005F594E">
      <w:pPr>
        <w:pStyle w:val="bullets"/>
        <w:rPr>
          <w:lang w:val="fr-FR"/>
        </w:rPr>
      </w:pPr>
      <w:r w:rsidRPr="00057CAF">
        <w:rPr>
          <w:lang w:val="fr-FR"/>
        </w:rPr>
        <w:t xml:space="preserve">Se prononcer sur les orientations à suivre pour concilier, équilibrer ou arbitrer les choix concurrents, entre </w:t>
      </w:r>
      <w:r w:rsidR="00352E09" w:rsidRPr="00057CAF">
        <w:rPr>
          <w:lang w:val="fr-FR"/>
        </w:rPr>
        <w:t>habitats</w:t>
      </w:r>
      <w:r w:rsidRPr="00057CAF">
        <w:rPr>
          <w:lang w:val="fr-FR"/>
        </w:rPr>
        <w:t xml:space="preserve"> </w:t>
      </w:r>
      <w:r w:rsidR="00352E09" w:rsidRPr="00057CAF">
        <w:rPr>
          <w:lang w:val="fr-FR"/>
        </w:rPr>
        <w:t xml:space="preserve">ou espèces </w:t>
      </w:r>
      <w:r w:rsidRPr="00057CAF">
        <w:rPr>
          <w:lang w:val="fr-FR"/>
        </w:rPr>
        <w:t>à privilégier, et entre occupations du sol, pour, entre autres préciser la situation espérée en matière de :</w:t>
      </w:r>
    </w:p>
    <w:p w:rsidR="00512294" w:rsidRPr="00057CAF" w:rsidRDefault="00352E09" w:rsidP="006B7DE1">
      <w:pPr>
        <w:pStyle w:val="Paragraphedeliste"/>
        <w:numPr>
          <w:ilvl w:val="1"/>
          <w:numId w:val="6"/>
        </w:numPr>
        <w:jc w:val="both"/>
        <w:rPr>
          <w:rFonts w:ascii="Garamond" w:hAnsi="Garamond"/>
          <w:lang w:val="fr-FR"/>
        </w:rPr>
      </w:pPr>
      <w:proofErr w:type="gramStart"/>
      <w:r w:rsidRPr="00057CAF">
        <w:rPr>
          <w:rFonts w:ascii="Garamond" w:hAnsi="Garamond"/>
          <w:lang w:val="fr-FR"/>
        </w:rPr>
        <w:t>degré</w:t>
      </w:r>
      <w:proofErr w:type="gramEnd"/>
      <w:r w:rsidRPr="00057CAF">
        <w:rPr>
          <w:rFonts w:ascii="Garamond" w:hAnsi="Garamond"/>
          <w:lang w:val="fr-FR"/>
        </w:rPr>
        <w:t xml:space="preserve"> d’ouverture des paysages, </w:t>
      </w:r>
      <w:r w:rsidR="00512294" w:rsidRPr="00057CAF">
        <w:rPr>
          <w:rFonts w:ascii="Garamond" w:hAnsi="Garamond"/>
          <w:lang w:val="fr-FR"/>
        </w:rPr>
        <w:t xml:space="preserve">entre les </w:t>
      </w:r>
      <w:r w:rsidRPr="00057CAF">
        <w:rPr>
          <w:rFonts w:ascii="Garamond" w:hAnsi="Garamond"/>
          <w:lang w:val="fr-FR"/>
        </w:rPr>
        <w:t>injonctions contradictoires en faveur du maintien d’espaces ouverts propices à l</w:t>
      </w:r>
      <w:r w:rsidR="00512294" w:rsidRPr="00057CAF">
        <w:rPr>
          <w:rFonts w:ascii="Garamond" w:hAnsi="Garamond"/>
          <w:lang w:val="fr-FR"/>
        </w:rPr>
        <w:t xml:space="preserve">’agriculture et à certains aspects de la </w:t>
      </w:r>
      <w:r w:rsidRPr="00057CAF">
        <w:rPr>
          <w:rFonts w:ascii="Garamond" w:hAnsi="Garamond"/>
          <w:lang w:val="fr-FR"/>
        </w:rPr>
        <w:t>biodiversité d’une part et en faveur de forêts ou d’un couvert à haute teneur en carbone séquestré d’autre part,</w:t>
      </w:r>
    </w:p>
    <w:p w:rsidR="00352E09" w:rsidRPr="00057CAF" w:rsidRDefault="00352E09" w:rsidP="006B7DE1">
      <w:pPr>
        <w:pStyle w:val="Paragraphedeliste"/>
        <w:numPr>
          <w:ilvl w:val="1"/>
          <w:numId w:val="6"/>
        </w:numPr>
        <w:jc w:val="both"/>
        <w:rPr>
          <w:rFonts w:ascii="Garamond" w:hAnsi="Garamond"/>
          <w:lang w:val="fr-FR"/>
        </w:rPr>
      </w:pPr>
      <w:proofErr w:type="gramStart"/>
      <w:r w:rsidRPr="00057CAF">
        <w:rPr>
          <w:rFonts w:ascii="Garamond" w:hAnsi="Garamond"/>
          <w:lang w:val="fr-FR"/>
        </w:rPr>
        <w:t>degré</w:t>
      </w:r>
      <w:proofErr w:type="gramEnd"/>
      <w:r w:rsidRPr="00057CAF">
        <w:rPr>
          <w:rFonts w:ascii="Garamond" w:hAnsi="Garamond"/>
          <w:lang w:val="fr-FR"/>
        </w:rPr>
        <w:t xml:space="preserve"> d’intensification agricole ou d’extensification</w:t>
      </w:r>
      <w:r w:rsidR="00512294" w:rsidRPr="00057CAF">
        <w:rPr>
          <w:rFonts w:ascii="Garamond" w:hAnsi="Garamond"/>
          <w:lang w:val="fr-FR"/>
        </w:rPr>
        <w:t>,</w:t>
      </w:r>
      <w:r w:rsidRPr="00057CAF">
        <w:rPr>
          <w:rFonts w:ascii="Garamond" w:hAnsi="Garamond"/>
          <w:lang w:val="fr-FR"/>
        </w:rPr>
        <w:t xml:space="preserve"> </w:t>
      </w:r>
    </w:p>
    <w:p w:rsidR="00512294" w:rsidRPr="00057CAF" w:rsidRDefault="00512294" w:rsidP="006B7DE1">
      <w:pPr>
        <w:pStyle w:val="Paragraphedeliste"/>
        <w:numPr>
          <w:ilvl w:val="1"/>
          <w:numId w:val="6"/>
        </w:numPr>
        <w:jc w:val="both"/>
        <w:rPr>
          <w:rFonts w:ascii="Garamond" w:hAnsi="Garamond"/>
          <w:lang w:val="fr-FR"/>
        </w:rPr>
      </w:pPr>
      <w:proofErr w:type="gramStart"/>
      <w:r w:rsidRPr="00057CAF">
        <w:rPr>
          <w:rFonts w:ascii="Garamond" w:hAnsi="Garamond"/>
          <w:lang w:val="fr-FR"/>
        </w:rPr>
        <w:t>répartition</w:t>
      </w:r>
      <w:proofErr w:type="gramEnd"/>
      <w:r w:rsidRPr="00057CAF">
        <w:rPr>
          <w:rFonts w:ascii="Garamond" w:hAnsi="Garamond"/>
          <w:lang w:val="fr-FR"/>
        </w:rPr>
        <w:t xml:space="preserve"> </w:t>
      </w:r>
      <w:r w:rsidR="00352E09" w:rsidRPr="00057CAF">
        <w:rPr>
          <w:rFonts w:ascii="Garamond" w:hAnsi="Garamond"/>
          <w:lang w:val="fr-FR"/>
        </w:rPr>
        <w:t xml:space="preserve">spatiale </w:t>
      </w:r>
      <w:r w:rsidRPr="00057CAF">
        <w:rPr>
          <w:rFonts w:ascii="Garamond" w:hAnsi="Garamond"/>
          <w:lang w:val="fr-FR"/>
        </w:rPr>
        <w:t xml:space="preserve">des </w:t>
      </w:r>
      <w:r w:rsidR="00352E09" w:rsidRPr="00057CAF">
        <w:rPr>
          <w:rFonts w:ascii="Garamond" w:hAnsi="Garamond"/>
          <w:lang w:val="fr-FR"/>
        </w:rPr>
        <w:t>divers services écosystémiques, ou entre les fonctions de production et de biodiversité (en pratique, l’intensité de l’effort pour la biodiversité dans la région de grandes cultures),</w:t>
      </w:r>
    </w:p>
    <w:p w:rsidR="00352E09" w:rsidRPr="00057CAF" w:rsidRDefault="00512294" w:rsidP="006B7DE1">
      <w:pPr>
        <w:pStyle w:val="Paragraphedeliste"/>
        <w:numPr>
          <w:ilvl w:val="1"/>
          <w:numId w:val="6"/>
        </w:numPr>
        <w:jc w:val="both"/>
        <w:rPr>
          <w:rFonts w:ascii="Garamond" w:hAnsi="Garamond"/>
          <w:lang w:val="fr-FR"/>
        </w:rPr>
      </w:pPr>
      <w:proofErr w:type="gramStart"/>
      <w:r w:rsidRPr="00057CAF">
        <w:rPr>
          <w:rFonts w:ascii="Garamond" w:hAnsi="Garamond"/>
          <w:lang w:val="fr-FR"/>
        </w:rPr>
        <w:t>p</w:t>
      </w:r>
      <w:r w:rsidR="00352E09" w:rsidRPr="00057CAF">
        <w:rPr>
          <w:rFonts w:ascii="Garamond" w:hAnsi="Garamond"/>
          <w:lang w:val="fr-FR"/>
        </w:rPr>
        <w:t>riorités</w:t>
      </w:r>
      <w:proofErr w:type="gramEnd"/>
      <w:r w:rsidR="00352E09" w:rsidRPr="00057CAF">
        <w:rPr>
          <w:rFonts w:ascii="Garamond" w:hAnsi="Garamond"/>
          <w:lang w:val="fr-FR"/>
        </w:rPr>
        <w:t xml:space="preserve"> d’affectation de la production végétale (entre la part restituée au sol, celle consacrée à la production d’énergie, celle consacrée à nourrir le bétail et celle consacrée à l’alimentation végétale de la population humaine),</w:t>
      </w:r>
    </w:p>
    <w:p w:rsidR="005F594E" w:rsidRPr="00057CAF" w:rsidRDefault="005F594E" w:rsidP="005F594E">
      <w:pPr>
        <w:pStyle w:val="bullets"/>
        <w:rPr>
          <w:lang w:val="fr-FR"/>
        </w:rPr>
      </w:pPr>
      <w:r w:rsidRPr="00057CAF">
        <w:rPr>
          <w:lang w:val="fr-FR"/>
        </w:rPr>
        <w:br w:type="page"/>
      </w:r>
    </w:p>
    <w:p w:rsidR="00B012CC" w:rsidRPr="00057CAF" w:rsidRDefault="00512294" w:rsidP="005F594E">
      <w:pPr>
        <w:pStyle w:val="bullets"/>
        <w:rPr>
          <w:lang w:val="fr-FR"/>
        </w:rPr>
      </w:pPr>
      <w:r w:rsidRPr="00057CAF">
        <w:rPr>
          <w:lang w:val="fr-FR"/>
        </w:rPr>
        <w:lastRenderedPageBreak/>
        <w:t>Intégrer les aspects sociaux et distributifs</w:t>
      </w:r>
      <w:r w:rsidR="00B012CC" w:rsidRPr="00057CAF">
        <w:rPr>
          <w:lang w:val="fr-FR"/>
        </w:rPr>
        <w:t xml:space="preserve">, liés notamment </w:t>
      </w:r>
    </w:p>
    <w:p w:rsidR="00B012CC" w:rsidRPr="00057CAF" w:rsidRDefault="00B012CC" w:rsidP="006B7DE1">
      <w:pPr>
        <w:pStyle w:val="Paragraphedeliste"/>
        <w:numPr>
          <w:ilvl w:val="1"/>
          <w:numId w:val="7"/>
        </w:numPr>
        <w:rPr>
          <w:rFonts w:ascii="Garamond" w:hAnsi="Garamond"/>
          <w:lang w:val="fr-FR"/>
        </w:rPr>
      </w:pPr>
      <w:proofErr w:type="gramStart"/>
      <w:r w:rsidRPr="00057CAF">
        <w:rPr>
          <w:rFonts w:ascii="Garamond" w:hAnsi="Garamond"/>
          <w:lang w:val="fr-FR"/>
        </w:rPr>
        <w:t>au</w:t>
      </w:r>
      <w:proofErr w:type="gramEnd"/>
      <w:r w:rsidRPr="00057CAF">
        <w:rPr>
          <w:rFonts w:ascii="Garamond" w:hAnsi="Garamond"/>
          <w:lang w:val="fr-FR"/>
        </w:rPr>
        <w:t xml:space="preserve"> maintien d’emplois ruraux décents et à la satisfaction des besoins alimentaires et énergétiques</w:t>
      </w:r>
    </w:p>
    <w:p w:rsidR="00B012CC" w:rsidRPr="00057CAF" w:rsidRDefault="00B012CC" w:rsidP="006B7DE1">
      <w:pPr>
        <w:pStyle w:val="Paragraphedeliste"/>
        <w:numPr>
          <w:ilvl w:val="1"/>
          <w:numId w:val="7"/>
        </w:numPr>
        <w:rPr>
          <w:rFonts w:ascii="Garamond" w:hAnsi="Garamond"/>
          <w:lang w:val="fr-FR"/>
        </w:rPr>
      </w:pPr>
      <w:proofErr w:type="gramStart"/>
      <w:r w:rsidRPr="00057CAF">
        <w:rPr>
          <w:rFonts w:ascii="Garamond" w:hAnsi="Garamond"/>
          <w:lang w:val="fr-FR"/>
        </w:rPr>
        <w:t>à</w:t>
      </w:r>
      <w:proofErr w:type="gramEnd"/>
      <w:r w:rsidRPr="00057CAF">
        <w:rPr>
          <w:rFonts w:ascii="Garamond" w:hAnsi="Garamond"/>
          <w:lang w:val="fr-FR"/>
        </w:rPr>
        <w:t xml:space="preserve"> l’économie (pas forcément monétarisée) des services écosystémiques et à la manière de répondre à la demande les concernant</w:t>
      </w:r>
    </w:p>
    <w:p w:rsidR="00352E09" w:rsidRPr="00057CAF" w:rsidRDefault="00B012CC" w:rsidP="006B7DE1">
      <w:pPr>
        <w:pStyle w:val="Paragraphedeliste"/>
        <w:numPr>
          <w:ilvl w:val="1"/>
          <w:numId w:val="7"/>
        </w:numPr>
        <w:rPr>
          <w:rFonts w:ascii="Garamond" w:eastAsiaTheme="minorHAnsi" w:hAnsi="Garamond"/>
          <w:lang w:val="fr-FR"/>
        </w:rPr>
      </w:pPr>
      <w:proofErr w:type="gramStart"/>
      <w:r w:rsidRPr="00057CAF">
        <w:rPr>
          <w:rFonts w:ascii="Garamond" w:hAnsi="Garamond"/>
          <w:lang w:val="fr-FR"/>
        </w:rPr>
        <w:t>au</w:t>
      </w:r>
      <w:proofErr w:type="gramEnd"/>
      <w:r w:rsidRPr="00057CAF">
        <w:rPr>
          <w:rFonts w:ascii="Garamond" w:hAnsi="Garamond"/>
          <w:lang w:val="fr-FR"/>
        </w:rPr>
        <w:t xml:space="preserve"> régime foncier, dans un contexte où la valeur sociale de la terre n’est plus uniquement liée à sa production, et où apparaissent des rentes environnementales dont la légitimité pourrait être remise en question.   </w:t>
      </w:r>
    </w:p>
    <w:p w:rsidR="00DA3F93" w:rsidRDefault="00B43A8B" w:rsidP="005F594E">
      <w:pPr>
        <w:pStyle w:val="Titre3"/>
        <w:rPr>
          <w:rFonts w:eastAsiaTheme="minorHAnsi"/>
        </w:rPr>
      </w:pPr>
      <w:bookmarkStart w:id="142" w:name="_Toc11278986"/>
      <w:bookmarkStart w:id="143" w:name="_Toc11333831"/>
      <w:bookmarkStart w:id="144" w:name="_Toc25688803"/>
      <w:r>
        <w:rPr>
          <w:rFonts w:eastAsiaTheme="minorHAnsi"/>
        </w:rPr>
        <w:t xml:space="preserve">La </w:t>
      </w:r>
      <w:r w:rsidR="00CE248C">
        <w:rPr>
          <w:rFonts w:eastAsiaTheme="minorHAnsi"/>
        </w:rPr>
        <w:t xml:space="preserve">définition </w:t>
      </w:r>
      <w:r>
        <w:rPr>
          <w:rFonts w:eastAsiaTheme="minorHAnsi"/>
        </w:rPr>
        <w:t>des objectifs</w:t>
      </w:r>
      <w:r w:rsidR="00C830FB">
        <w:rPr>
          <w:rFonts w:eastAsiaTheme="minorHAnsi"/>
        </w:rPr>
        <w:t xml:space="preserve"> spécifiques</w:t>
      </w:r>
      <w:bookmarkEnd w:id="142"/>
      <w:bookmarkEnd w:id="143"/>
      <w:bookmarkEnd w:id="144"/>
    </w:p>
    <w:p w:rsidR="00A46ED2" w:rsidRDefault="00CE248C" w:rsidP="00A46ED2">
      <w:pPr>
        <w:rPr>
          <w:rFonts w:eastAsiaTheme="minorHAnsi" w:cstheme="minorBidi"/>
          <w:szCs w:val="22"/>
        </w:rPr>
      </w:pPr>
      <w:r w:rsidRPr="00057CAF">
        <w:rPr>
          <w:rFonts w:eastAsiaTheme="minorHAnsi"/>
          <w:lang w:val="fr-FR"/>
        </w:rPr>
        <w:t xml:space="preserve">La </w:t>
      </w:r>
      <w:r w:rsidR="00A46ED2" w:rsidRPr="00057CAF">
        <w:rPr>
          <w:rFonts w:eastAsiaTheme="minorHAnsi"/>
          <w:lang w:val="fr-FR"/>
        </w:rPr>
        <w:t>prospective étant établie</w:t>
      </w:r>
      <w:r w:rsidRPr="00057CAF">
        <w:rPr>
          <w:rFonts w:eastAsiaTheme="minorHAnsi"/>
          <w:lang w:val="fr-FR"/>
        </w:rPr>
        <w:t>, elle guide la définition des o</w:t>
      </w:r>
      <w:r w:rsidR="00A46ED2" w:rsidRPr="00057CAF">
        <w:rPr>
          <w:rFonts w:eastAsiaTheme="minorHAnsi"/>
          <w:lang w:val="fr-FR"/>
        </w:rPr>
        <w:t>bjectifs de plus court terme</w:t>
      </w:r>
      <w:r w:rsidR="00A46ED2" w:rsidRPr="00057CAF">
        <w:rPr>
          <w:rFonts w:eastAsiaTheme="minorHAnsi" w:cstheme="minorBidi"/>
          <w:szCs w:val="22"/>
          <w:lang w:val="fr-FR"/>
        </w:rPr>
        <w:t xml:space="preserve"> à atteindre par le PDR </w:t>
      </w:r>
      <w:r w:rsidRPr="00057CAF">
        <w:rPr>
          <w:rFonts w:eastAsiaTheme="minorHAnsi" w:cstheme="minorBidi"/>
          <w:szCs w:val="22"/>
          <w:lang w:val="fr-FR"/>
        </w:rPr>
        <w:t xml:space="preserve">(comme par les programmes complémentaires). </w:t>
      </w:r>
      <w:r>
        <w:rPr>
          <w:rFonts w:eastAsiaTheme="minorHAnsi" w:cstheme="minorBidi"/>
          <w:szCs w:val="22"/>
        </w:rPr>
        <w:t xml:space="preserve">La démarche </w:t>
      </w:r>
      <w:proofErr w:type="spellStart"/>
      <w:r>
        <w:rPr>
          <w:rFonts w:eastAsiaTheme="minorHAnsi" w:cstheme="minorBidi"/>
          <w:szCs w:val="22"/>
        </w:rPr>
        <w:t>préconisée</w:t>
      </w:r>
      <w:proofErr w:type="spellEnd"/>
      <w:r>
        <w:rPr>
          <w:rFonts w:eastAsiaTheme="minorHAnsi" w:cstheme="minorBidi"/>
          <w:szCs w:val="22"/>
        </w:rPr>
        <w:t xml:space="preserve"> </w:t>
      </w:r>
      <w:proofErr w:type="spellStart"/>
      <w:r>
        <w:rPr>
          <w:rFonts w:eastAsiaTheme="minorHAnsi" w:cstheme="minorBidi"/>
          <w:szCs w:val="22"/>
        </w:rPr>
        <w:t>implique</w:t>
      </w:r>
      <w:proofErr w:type="spellEnd"/>
      <w:r>
        <w:rPr>
          <w:rFonts w:eastAsiaTheme="minorHAnsi" w:cstheme="minorBidi"/>
          <w:szCs w:val="22"/>
        </w:rPr>
        <w:t xml:space="preserve"> </w:t>
      </w:r>
      <w:proofErr w:type="gramStart"/>
      <w:r>
        <w:rPr>
          <w:rFonts w:eastAsiaTheme="minorHAnsi" w:cstheme="minorBidi"/>
          <w:szCs w:val="22"/>
        </w:rPr>
        <w:t>de :</w:t>
      </w:r>
      <w:proofErr w:type="gramEnd"/>
    </w:p>
    <w:p w:rsidR="00CE248C" w:rsidRPr="00057CAF" w:rsidRDefault="00CE248C" w:rsidP="005F594E">
      <w:pPr>
        <w:pStyle w:val="bullets"/>
        <w:rPr>
          <w:lang w:val="fr-FR"/>
        </w:rPr>
      </w:pPr>
      <w:r w:rsidRPr="00057CAF">
        <w:rPr>
          <w:lang w:val="fr-FR"/>
        </w:rPr>
        <w:t xml:space="preserve">Définir les objectifs et résultats attendus de manière explicite (indiquant ce qu’on attend </w:t>
      </w:r>
      <w:r w:rsidR="00745382" w:rsidRPr="00057CAF">
        <w:rPr>
          <w:lang w:val="fr-FR"/>
        </w:rPr>
        <w:t xml:space="preserve">au sein des divers domaines, plutôt que de simplement évoquer des « domaines prioritaires «  n’indiquant pas ce qui est souhaité </w:t>
      </w:r>
      <w:r w:rsidRPr="00057CAF">
        <w:rPr>
          <w:lang w:val="fr-FR"/>
        </w:rPr>
        <w:t xml:space="preserve">à </w:t>
      </w:r>
      <w:r w:rsidR="00745382" w:rsidRPr="00057CAF">
        <w:rPr>
          <w:lang w:val="fr-FR"/>
        </w:rPr>
        <w:t xml:space="preserve">leur </w:t>
      </w:r>
      <w:r w:rsidRPr="00057CAF">
        <w:rPr>
          <w:lang w:val="fr-FR"/>
        </w:rPr>
        <w:t>propos</w:t>
      </w:r>
      <w:r w:rsidR="00745382" w:rsidRPr="00057CAF">
        <w:rPr>
          <w:lang w:val="fr-FR"/>
        </w:rPr>
        <w:t xml:space="preserve">) et sans </w:t>
      </w:r>
      <w:r w:rsidRPr="00057CAF">
        <w:rPr>
          <w:lang w:val="fr-FR"/>
        </w:rPr>
        <w:t>amalgames (par exemple entre gaz à effet de serre et ammoniac, entre biodiversité et paysage, entre aspects de la biodiversité) et à les décliner au niveau wallon en précisant ce que l’on veut à propos des domaines en question ;</w:t>
      </w:r>
    </w:p>
    <w:p w:rsidR="00CE248C" w:rsidRPr="00057CAF" w:rsidRDefault="00CE248C" w:rsidP="005F594E">
      <w:pPr>
        <w:pStyle w:val="bullets"/>
        <w:rPr>
          <w:lang w:val="fr-FR"/>
        </w:rPr>
      </w:pPr>
      <w:r w:rsidRPr="00057CAF">
        <w:rPr>
          <w:lang w:val="fr-FR"/>
        </w:rPr>
        <w:t xml:space="preserve">Expliciter autant que possible la logique de la contribution </w:t>
      </w:r>
      <w:r w:rsidR="00745382" w:rsidRPr="00057CAF">
        <w:rPr>
          <w:lang w:val="fr-FR"/>
        </w:rPr>
        <w:t xml:space="preserve">actions, résultats </w:t>
      </w:r>
      <w:r w:rsidRPr="00057CAF">
        <w:rPr>
          <w:lang w:val="fr-FR"/>
        </w:rPr>
        <w:t xml:space="preserve">et objectifs de court terme aux objectifs lointains et les conditions de cette contribution (selon la  « théorie du changement »), en vue d’éviter </w:t>
      </w:r>
      <w:r w:rsidR="00745382" w:rsidRPr="00057CAF">
        <w:rPr>
          <w:lang w:val="fr-FR"/>
        </w:rPr>
        <w:t xml:space="preserve">de les perdre de vue et </w:t>
      </w:r>
      <w:r w:rsidRPr="00057CAF">
        <w:rPr>
          <w:lang w:val="fr-FR"/>
        </w:rPr>
        <w:t xml:space="preserve">d’en être déviés </w:t>
      </w:r>
      <w:r w:rsidR="00745382" w:rsidRPr="00057CAF">
        <w:rPr>
          <w:lang w:val="fr-FR"/>
        </w:rPr>
        <w:t>(</w:t>
      </w:r>
      <w:r w:rsidRPr="00057CAF">
        <w:rPr>
          <w:lang w:val="fr-FR"/>
        </w:rPr>
        <w:t>par exemple le mot d’ordre d’efficacité énergétique pourrait être contreproductif pour le climat en cas d’effet rebond) ;</w:t>
      </w:r>
    </w:p>
    <w:p w:rsidR="00A46ED2" w:rsidRPr="00057CAF" w:rsidRDefault="004B15DF" w:rsidP="005F594E">
      <w:pPr>
        <w:pStyle w:val="bullets"/>
        <w:rPr>
          <w:lang w:val="fr-FR"/>
        </w:rPr>
      </w:pPr>
      <w:r w:rsidRPr="00057CAF">
        <w:rPr>
          <w:lang w:val="fr-FR"/>
        </w:rPr>
        <w:t xml:space="preserve">Concevoir les objectifs comme des améliorations espérées et voulues de la situation sociale, économique et </w:t>
      </w:r>
      <w:r w:rsidR="008705B6" w:rsidRPr="00057CAF">
        <w:rPr>
          <w:lang w:val="fr-FR"/>
        </w:rPr>
        <w:t xml:space="preserve">(ou) </w:t>
      </w:r>
      <w:r w:rsidRPr="00057CAF">
        <w:rPr>
          <w:lang w:val="fr-FR"/>
        </w:rPr>
        <w:t xml:space="preserve">environnementale à obtenir grâce au PDR, </w:t>
      </w:r>
      <w:r w:rsidR="00A46ED2" w:rsidRPr="00057CAF">
        <w:rPr>
          <w:lang w:val="fr-FR"/>
        </w:rPr>
        <w:t xml:space="preserve">plutôt que </w:t>
      </w:r>
      <w:r w:rsidRPr="00057CAF">
        <w:rPr>
          <w:lang w:val="fr-FR"/>
        </w:rPr>
        <w:t xml:space="preserve"> comme des intentions en matière de dépense ou d’activité du PDR</w:t>
      </w:r>
      <w:r>
        <w:rPr>
          <w:rStyle w:val="Appelnotedebasdep"/>
          <w:rFonts w:eastAsiaTheme="minorHAnsi" w:cstheme="minorBidi"/>
          <w:szCs w:val="22"/>
        </w:rPr>
        <w:footnoteReference w:id="13"/>
      </w:r>
      <w:r w:rsidR="00A46ED2" w:rsidRPr="00057CAF">
        <w:rPr>
          <w:lang w:val="fr-FR"/>
        </w:rPr>
        <w:t xml:space="preserve"> ou que comme conséquences pouvant être espérées de ce qu’on a décidé de faire</w:t>
      </w:r>
      <w:r w:rsidR="00745382" w:rsidRPr="00057CAF">
        <w:rPr>
          <w:lang w:val="fr-FR"/>
        </w:rPr>
        <w:t> ;</w:t>
      </w:r>
    </w:p>
    <w:p w:rsidR="00B31E8B" w:rsidRPr="00057CAF" w:rsidRDefault="00B31E8B" w:rsidP="005F594E">
      <w:pPr>
        <w:pStyle w:val="bullets"/>
        <w:rPr>
          <w:lang w:val="fr-FR"/>
        </w:rPr>
      </w:pPr>
      <w:r w:rsidRPr="00057CAF">
        <w:rPr>
          <w:lang w:val="fr-FR"/>
        </w:rPr>
        <w:t>N’accepter comme objectifs que ceux qui contribuent à la situation espérée (par exemple ne pas faire thème de l’innovation un but en soi mais l’envisager pour la transition vers la durabilité ;</w:t>
      </w:r>
    </w:p>
    <w:p w:rsidR="003200CC" w:rsidRPr="00057CAF" w:rsidRDefault="003200CC" w:rsidP="005F594E">
      <w:pPr>
        <w:pStyle w:val="bullets"/>
        <w:rPr>
          <w:lang w:val="fr-FR"/>
        </w:rPr>
      </w:pPr>
      <w:r w:rsidRPr="00057CAF">
        <w:rPr>
          <w:lang w:val="fr-FR"/>
        </w:rPr>
        <w:t>Distinguer la notion d’objectif de la notion de contribution : l’objectif doit être l’effet positif espéré motivant la conception et la mise en œuvre de la mesure ;</w:t>
      </w:r>
    </w:p>
    <w:p w:rsidR="003200CC" w:rsidRPr="00057CAF" w:rsidRDefault="003200CC" w:rsidP="005F594E">
      <w:pPr>
        <w:pStyle w:val="bullets"/>
        <w:rPr>
          <w:lang w:val="fr-FR"/>
        </w:rPr>
      </w:pPr>
      <w:r w:rsidRPr="00057CAF">
        <w:rPr>
          <w:lang w:val="fr-FR"/>
        </w:rPr>
        <w:t xml:space="preserve">Renforcer la transparence envers les objectifs et préoccupations qui ont déterminé les choix sans se référer </w:t>
      </w:r>
      <w:r w:rsidR="008705B6" w:rsidRPr="00057CAF">
        <w:rPr>
          <w:lang w:val="fr-FR"/>
        </w:rPr>
        <w:t xml:space="preserve">uniquement </w:t>
      </w:r>
      <w:r w:rsidRPr="00057CAF">
        <w:rPr>
          <w:lang w:val="fr-FR"/>
        </w:rPr>
        <w:t>au cadre européen ;</w:t>
      </w:r>
    </w:p>
    <w:p w:rsidR="008705B6" w:rsidRPr="00057CAF" w:rsidRDefault="008705B6" w:rsidP="005F594E">
      <w:pPr>
        <w:pStyle w:val="bullets"/>
        <w:rPr>
          <w:lang w:val="fr-FR"/>
        </w:rPr>
      </w:pPr>
      <w:r w:rsidRPr="00057CAF">
        <w:rPr>
          <w:lang w:val="fr-FR"/>
        </w:rPr>
        <w:t>Assurer la cohérence entre objectifs déclarés ou suggérés et objectifs réellement poursuivis (notamment dans le cas de la M13, mais aussi de M10 ) ;</w:t>
      </w:r>
    </w:p>
    <w:p w:rsidR="00CD7904" w:rsidRPr="00057CAF" w:rsidRDefault="00CD7904" w:rsidP="005F594E">
      <w:pPr>
        <w:pStyle w:val="bullets"/>
        <w:rPr>
          <w:lang w:val="fr-FR"/>
        </w:rPr>
      </w:pPr>
      <w:r w:rsidRPr="00057CAF">
        <w:rPr>
          <w:lang w:val="fr-FR"/>
        </w:rPr>
        <w:t xml:space="preserve">Définir autant que possible des cibles objectivement vérifiables au moyen d’indicateurs, mais </w:t>
      </w:r>
      <w:r w:rsidR="00476F9D" w:rsidRPr="00057CAF">
        <w:rPr>
          <w:lang w:val="fr-FR"/>
        </w:rPr>
        <w:t xml:space="preserve">cela </w:t>
      </w:r>
      <w:r w:rsidRPr="00057CAF">
        <w:rPr>
          <w:lang w:val="fr-FR"/>
        </w:rPr>
        <w:t>tout en maintenant la pr</w:t>
      </w:r>
      <w:r w:rsidR="00476F9D" w:rsidRPr="00057CAF">
        <w:rPr>
          <w:lang w:val="fr-FR"/>
        </w:rPr>
        <w:t xml:space="preserve">éséance des </w:t>
      </w:r>
      <w:r w:rsidRPr="00057CAF">
        <w:rPr>
          <w:lang w:val="fr-FR"/>
        </w:rPr>
        <w:t>objectif</w:t>
      </w:r>
      <w:r w:rsidR="00476F9D" w:rsidRPr="00057CAF">
        <w:rPr>
          <w:lang w:val="fr-FR"/>
        </w:rPr>
        <w:t xml:space="preserve">s (y compris dans </w:t>
      </w:r>
      <w:r w:rsidRPr="00057CAF">
        <w:rPr>
          <w:lang w:val="fr-FR"/>
        </w:rPr>
        <w:t>ses aspects qualitatifs</w:t>
      </w:r>
      <w:r w:rsidR="00476F9D" w:rsidRPr="00057CAF">
        <w:rPr>
          <w:lang w:val="fr-FR"/>
        </w:rPr>
        <w:t>) sur s</w:t>
      </w:r>
      <w:r w:rsidRPr="00057CAF">
        <w:rPr>
          <w:lang w:val="fr-FR"/>
        </w:rPr>
        <w:t>es indicateurs ;</w:t>
      </w:r>
    </w:p>
    <w:p w:rsidR="00186D5F" w:rsidRPr="00057CAF" w:rsidRDefault="00186D5F" w:rsidP="005F594E">
      <w:pPr>
        <w:pStyle w:val="bullets"/>
        <w:rPr>
          <w:lang w:val="fr-FR"/>
        </w:rPr>
      </w:pPr>
      <w:r w:rsidRPr="00057CAF">
        <w:rPr>
          <w:rFonts w:cstheme="minorHAnsi"/>
          <w:lang w:val="fr-FR"/>
        </w:rPr>
        <w:t>Eviter – ou être prudent envers – les situations cibles exprimées en pourcentages (par exemple le pourcentage d’énergie renouvelable) dans la mesure où ceux-ci peuvent générer des effets pervers (par exemple inciter à augmenter l’énergie renouvelable sans réduire l’énergie conventionnelle, ce qui n’aurait aucun impact sur le climat).</w:t>
      </w:r>
    </w:p>
    <w:p w:rsidR="00745382" w:rsidRDefault="00745382" w:rsidP="005F594E">
      <w:pPr>
        <w:pStyle w:val="Titre3"/>
      </w:pPr>
      <w:bookmarkStart w:id="145" w:name="_Toc11278987"/>
      <w:bookmarkStart w:id="146" w:name="_Toc11333832"/>
      <w:bookmarkStart w:id="147" w:name="_Toc25688804"/>
      <w:r>
        <w:lastRenderedPageBreak/>
        <w:t>La prise en compte des préoccupations externes aux objectifs</w:t>
      </w:r>
      <w:bookmarkEnd w:id="145"/>
      <w:bookmarkEnd w:id="146"/>
      <w:bookmarkEnd w:id="147"/>
    </w:p>
    <w:p w:rsidR="00745382" w:rsidRPr="00057CAF" w:rsidRDefault="00745382" w:rsidP="00745382">
      <w:pPr>
        <w:rPr>
          <w:lang w:val="fr-FR"/>
        </w:rPr>
      </w:pPr>
      <w:r w:rsidRPr="00057CAF">
        <w:rPr>
          <w:lang w:val="fr-FR"/>
        </w:rPr>
        <w:t>Un objectif étant défini comme une situation améliorée qui détermine et guide l’action, il importe que celle-ci prennent également en compte ses effets possibles autres que l’atteinte des objectifs (effets externes) et les influences extérieures sur l’atteinte des objectifs.</w:t>
      </w:r>
    </w:p>
    <w:p w:rsidR="005F594E" w:rsidRPr="00057CAF" w:rsidRDefault="005F594E" w:rsidP="00745382">
      <w:pPr>
        <w:rPr>
          <w:lang w:val="fr-FR"/>
        </w:rPr>
      </w:pPr>
    </w:p>
    <w:p w:rsidR="00745382" w:rsidRPr="00057CAF" w:rsidRDefault="00745382" w:rsidP="00745382">
      <w:pPr>
        <w:rPr>
          <w:b/>
          <w:lang w:val="fr-FR"/>
        </w:rPr>
      </w:pPr>
      <w:r w:rsidRPr="00057CAF">
        <w:rPr>
          <w:b/>
          <w:lang w:val="fr-FR"/>
        </w:rPr>
        <w:t xml:space="preserve">Effets </w:t>
      </w:r>
      <w:r w:rsidR="00C830FB" w:rsidRPr="00057CAF">
        <w:rPr>
          <w:b/>
          <w:lang w:val="fr-FR"/>
        </w:rPr>
        <w:t xml:space="preserve">du programme </w:t>
      </w:r>
      <w:r w:rsidRPr="00057CAF">
        <w:rPr>
          <w:b/>
          <w:lang w:val="fr-FR"/>
        </w:rPr>
        <w:t>externes aux objectifs</w:t>
      </w:r>
    </w:p>
    <w:p w:rsidR="005F594E" w:rsidRPr="00057CAF" w:rsidRDefault="005F594E" w:rsidP="00745382">
      <w:pPr>
        <w:rPr>
          <w:b/>
          <w:lang w:val="fr-FR"/>
        </w:rPr>
      </w:pPr>
    </w:p>
    <w:p w:rsidR="00A20629" w:rsidRPr="00A20629" w:rsidRDefault="00A20629" w:rsidP="00A20629">
      <w:pPr>
        <w:rPr>
          <w:rFonts w:eastAsiaTheme="minorHAnsi" w:cstheme="minorBidi"/>
          <w:szCs w:val="22"/>
        </w:rPr>
      </w:pPr>
      <w:r w:rsidRPr="00057CAF">
        <w:rPr>
          <w:rFonts w:eastAsiaTheme="minorHAnsi"/>
          <w:lang w:val="fr-FR"/>
        </w:rPr>
        <w:t xml:space="preserve">L’Evaluation Environnementale Stratégique est le principal outil adopté pour la gestion des effets autres que l’atteinte des objectifs, au moins du point de vue environnemental. </w:t>
      </w:r>
      <w:r>
        <w:rPr>
          <w:rFonts w:eastAsiaTheme="minorHAnsi"/>
        </w:rPr>
        <w:t xml:space="preserve">Il </w:t>
      </w:r>
      <w:proofErr w:type="spellStart"/>
      <w:r>
        <w:rPr>
          <w:rFonts w:eastAsiaTheme="minorHAnsi"/>
        </w:rPr>
        <w:t>serait</w:t>
      </w:r>
      <w:proofErr w:type="spellEnd"/>
      <w:r>
        <w:rPr>
          <w:rFonts w:eastAsiaTheme="minorHAnsi"/>
        </w:rPr>
        <w:t xml:space="preserve"> </w:t>
      </w:r>
      <w:proofErr w:type="spellStart"/>
      <w:r>
        <w:rPr>
          <w:rFonts w:eastAsiaTheme="minorHAnsi"/>
        </w:rPr>
        <w:t>souhaitable</w:t>
      </w:r>
      <w:proofErr w:type="spellEnd"/>
      <w:r>
        <w:rPr>
          <w:rFonts w:eastAsiaTheme="minorHAnsi"/>
        </w:rPr>
        <w:t xml:space="preserve"> </w:t>
      </w:r>
      <w:proofErr w:type="gramStart"/>
      <w:r>
        <w:rPr>
          <w:rFonts w:eastAsiaTheme="minorHAnsi"/>
        </w:rPr>
        <w:t>que :</w:t>
      </w:r>
      <w:proofErr w:type="gramEnd"/>
    </w:p>
    <w:p w:rsidR="00A20629" w:rsidRPr="00057CAF" w:rsidRDefault="00A20629" w:rsidP="005F594E">
      <w:pPr>
        <w:pStyle w:val="bullets"/>
        <w:rPr>
          <w:rFonts w:cstheme="minorBidi"/>
          <w:szCs w:val="22"/>
          <w:lang w:val="fr-FR"/>
        </w:rPr>
      </w:pPr>
      <w:r w:rsidRPr="00057CAF">
        <w:rPr>
          <w:lang w:val="fr-FR"/>
        </w:rPr>
        <w:t>L’EES soit plus explicitement utilisée à l’analyse des effets externes (environnementaux ou non environnementaux) même si elle peut aussi jouer un rôle de validation des stratégies environnementales soumises à l’EES</w:t>
      </w:r>
    </w:p>
    <w:p w:rsidR="00A20629" w:rsidRPr="00057CAF" w:rsidRDefault="00A20629" w:rsidP="005F594E">
      <w:pPr>
        <w:pStyle w:val="bullets"/>
        <w:rPr>
          <w:rFonts w:cstheme="minorBidi"/>
          <w:szCs w:val="22"/>
          <w:lang w:val="fr-FR"/>
        </w:rPr>
      </w:pPr>
      <w:r w:rsidRPr="00057CAF">
        <w:rPr>
          <w:lang w:val="fr-FR"/>
        </w:rPr>
        <w:t xml:space="preserve">L’EES, en tant qu’analyse ex ante, cadre le suivi et l’évaluation </w:t>
      </w:r>
      <w:r w:rsidRPr="00057CAF">
        <w:rPr>
          <w:rFonts w:cstheme="minorBidi"/>
          <w:i/>
          <w:szCs w:val="22"/>
          <w:lang w:val="fr-FR"/>
        </w:rPr>
        <w:t>in itinere</w:t>
      </w:r>
      <w:r w:rsidRPr="00057CAF">
        <w:rPr>
          <w:rFonts w:cstheme="minorBidi"/>
          <w:szCs w:val="22"/>
          <w:lang w:val="fr-FR"/>
        </w:rPr>
        <w:t xml:space="preserve"> ou </w:t>
      </w:r>
      <w:r w:rsidRPr="00057CAF">
        <w:rPr>
          <w:rFonts w:cstheme="minorBidi"/>
          <w:i/>
          <w:szCs w:val="22"/>
          <w:lang w:val="fr-FR"/>
        </w:rPr>
        <w:t>ex post</w:t>
      </w:r>
      <w:r w:rsidRPr="00057CAF">
        <w:rPr>
          <w:rFonts w:cstheme="minorBidi"/>
          <w:szCs w:val="22"/>
          <w:lang w:val="fr-FR"/>
        </w:rPr>
        <w:t xml:space="preserve"> des effets (notamment environnementaux) du PDR et soit donc conçue de manière à jouer ce rôle ; ceci implique une harmonisation quant à la définition de la situation de référence et au choix des indicateurs et critères pris en compte. </w:t>
      </w:r>
    </w:p>
    <w:p w:rsidR="00745382" w:rsidRPr="00057CAF" w:rsidRDefault="00A20629" w:rsidP="00745382">
      <w:pPr>
        <w:rPr>
          <w:b/>
          <w:lang w:val="fr-FR"/>
        </w:rPr>
      </w:pPr>
      <w:r w:rsidRPr="00057CAF">
        <w:rPr>
          <w:b/>
          <w:lang w:val="fr-FR"/>
        </w:rPr>
        <w:t xml:space="preserve">Effets externes </w:t>
      </w:r>
      <w:r w:rsidR="00C830FB" w:rsidRPr="00057CAF">
        <w:rPr>
          <w:b/>
          <w:lang w:val="fr-FR"/>
        </w:rPr>
        <w:t xml:space="preserve">au programme exercés </w:t>
      </w:r>
      <w:r w:rsidRPr="00057CAF">
        <w:rPr>
          <w:b/>
          <w:lang w:val="fr-FR"/>
        </w:rPr>
        <w:t xml:space="preserve">sur </w:t>
      </w:r>
      <w:r w:rsidR="00C830FB" w:rsidRPr="00057CAF">
        <w:rPr>
          <w:b/>
          <w:lang w:val="fr-FR"/>
        </w:rPr>
        <w:t>s</w:t>
      </w:r>
      <w:r w:rsidRPr="00057CAF">
        <w:rPr>
          <w:b/>
          <w:lang w:val="fr-FR"/>
        </w:rPr>
        <w:t>es objectifs</w:t>
      </w:r>
    </w:p>
    <w:p w:rsidR="005F594E" w:rsidRPr="00057CAF" w:rsidRDefault="005F594E" w:rsidP="00745382">
      <w:pPr>
        <w:rPr>
          <w:b/>
          <w:lang w:val="fr-FR"/>
        </w:rPr>
      </w:pPr>
    </w:p>
    <w:p w:rsidR="00A20629" w:rsidRPr="00057CAF" w:rsidRDefault="00756079" w:rsidP="00A20629">
      <w:pPr>
        <w:rPr>
          <w:lang w:val="fr-FR"/>
        </w:rPr>
      </w:pPr>
      <w:r w:rsidRPr="00057CAF">
        <w:rPr>
          <w:lang w:val="fr-FR"/>
        </w:rPr>
        <w:t>Le PDR étant peu orienté vers les objectifs, mais davantage conçu en fonction de moyens ou de mesures, son évaluation et son pilotage tiennent peu compte des évolutions des facteurs externes, qui peuvent résider par exemple dans les autres stratégies et instruments de mise en œuvre des politiques ou dans les évolutions des marchés, des technologies et du climat. Un</w:t>
      </w:r>
      <w:r w:rsidR="004B7D57" w:rsidRPr="00057CAF">
        <w:rPr>
          <w:lang w:val="fr-FR"/>
        </w:rPr>
        <w:t>e</w:t>
      </w:r>
      <w:r w:rsidRPr="00057CAF">
        <w:rPr>
          <w:lang w:val="fr-FR"/>
        </w:rPr>
        <w:t xml:space="preserve"> réflexion serait à mener sur la manière de systématiser la prise en compte de ces éléments extérieurs pouvant interférer avec l’atteinte durable des objectifs.</w:t>
      </w:r>
    </w:p>
    <w:p w:rsidR="005F594E" w:rsidRPr="00057CAF" w:rsidRDefault="005F594E" w:rsidP="00A20629">
      <w:pPr>
        <w:rPr>
          <w:lang w:val="fr-FR"/>
        </w:rPr>
      </w:pPr>
    </w:p>
    <w:p w:rsidR="004B7D57" w:rsidRDefault="004B7D57" w:rsidP="00A20629">
      <w:r w:rsidRPr="00057CAF">
        <w:rPr>
          <w:lang w:val="fr-FR"/>
        </w:rPr>
        <w:t xml:space="preserve">La réponse logique aux effets reçus de l’extérieur dépend de l’impact de ceux-ci et de la mesure dans laquelle ces facteurs sont maitrisables. En cas de facteurs non maîtrisables la seule réponse est l’adaptation (par exemple l’adaptation aux aléas ou au changement climatiques, mais pas seulement eux), en cas de facteurs maîtrisables une réponse possible est de s’attaquer à ceux-ci. </w:t>
      </w:r>
      <w:r w:rsidR="008F2CE5" w:rsidRPr="00057CAF">
        <w:rPr>
          <w:lang w:val="fr-FR"/>
        </w:rPr>
        <w:t xml:space="preserve"> </w:t>
      </w:r>
      <w:r w:rsidR="008F2CE5">
        <w:t xml:space="preserve">Dans </w:t>
      </w:r>
      <w:proofErr w:type="spellStart"/>
      <w:r w:rsidR="008F2CE5">
        <w:t>ce</w:t>
      </w:r>
      <w:proofErr w:type="spellEnd"/>
      <w:r w:rsidR="008F2CE5">
        <w:t xml:space="preserve"> cadre </w:t>
      </w:r>
      <w:proofErr w:type="spellStart"/>
      <w:r w:rsidR="008F2CE5">
        <w:t>une</w:t>
      </w:r>
      <w:proofErr w:type="spellEnd"/>
      <w:r w:rsidR="008F2CE5">
        <w:t xml:space="preserve"> </w:t>
      </w:r>
      <w:proofErr w:type="spellStart"/>
      <w:r w:rsidR="008F2CE5">
        <w:t>recommandation</w:t>
      </w:r>
      <w:proofErr w:type="spellEnd"/>
      <w:r w:rsidR="008F2CE5">
        <w:t xml:space="preserve"> </w:t>
      </w:r>
      <w:proofErr w:type="spellStart"/>
      <w:r w:rsidR="008F2CE5">
        <w:t>spécifique</w:t>
      </w:r>
      <w:proofErr w:type="spellEnd"/>
      <w:r w:rsidR="008F2CE5">
        <w:t xml:space="preserve"> se </w:t>
      </w:r>
      <w:proofErr w:type="spellStart"/>
      <w:proofErr w:type="gramStart"/>
      <w:r w:rsidR="008F2CE5">
        <w:t>dégage</w:t>
      </w:r>
      <w:proofErr w:type="spellEnd"/>
      <w:r w:rsidR="008F2CE5">
        <w:t> :</w:t>
      </w:r>
      <w:proofErr w:type="gramEnd"/>
    </w:p>
    <w:p w:rsidR="008F2CE5" w:rsidRPr="00057CAF" w:rsidRDefault="008F2CE5" w:rsidP="005F594E">
      <w:pPr>
        <w:pStyle w:val="bullets"/>
        <w:rPr>
          <w:lang w:val="fr-FR"/>
        </w:rPr>
      </w:pPr>
      <w:r w:rsidRPr="00057CAF">
        <w:rPr>
          <w:lang w:val="fr-FR"/>
        </w:rPr>
        <w:t>De s’assurer que les mesures incitatives telles que les MAEC, conçues comme des compléments à des dispositions obligatoires, ne soient pas fragilisées par un manque de respect de ces dernières ;</w:t>
      </w:r>
    </w:p>
    <w:p w:rsidR="004B7D57" w:rsidRDefault="004B7D57" w:rsidP="005F594E">
      <w:pPr>
        <w:pStyle w:val="Titre3"/>
        <w:rPr>
          <w:rFonts w:eastAsiaTheme="minorHAnsi"/>
        </w:rPr>
      </w:pPr>
      <w:bookmarkStart w:id="148" w:name="_Toc11278988"/>
      <w:bookmarkStart w:id="149" w:name="_Toc11333833"/>
      <w:bookmarkStart w:id="150" w:name="_Toc25688805"/>
      <w:r>
        <w:rPr>
          <w:rFonts w:eastAsiaTheme="minorHAnsi"/>
        </w:rPr>
        <w:t>La cohérence et les synergies avec les instruments et mesures externes au PDR</w:t>
      </w:r>
      <w:bookmarkEnd w:id="148"/>
      <w:bookmarkEnd w:id="149"/>
      <w:bookmarkEnd w:id="150"/>
    </w:p>
    <w:p w:rsidR="004B7D57" w:rsidRDefault="004B7D57" w:rsidP="004B7D57">
      <w:pPr>
        <w:spacing w:after="60"/>
        <w:rPr>
          <w:rFonts w:eastAsiaTheme="minorHAnsi" w:cstheme="minorBidi"/>
          <w:szCs w:val="22"/>
        </w:rPr>
      </w:pPr>
      <w:r w:rsidRPr="00057CAF">
        <w:rPr>
          <w:rFonts w:eastAsiaTheme="minorHAnsi" w:cstheme="minorBidi"/>
          <w:szCs w:val="22"/>
          <w:lang w:val="fr-FR"/>
        </w:rPr>
        <w:t xml:space="preserve">Les objectifs environnementaux et de transition demandent une approche qui dépasse celle du PRD. </w:t>
      </w:r>
      <w:r>
        <w:rPr>
          <w:rFonts w:eastAsiaTheme="minorHAnsi" w:cstheme="minorBidi"/>
          <w:szCs w:val="22"/>
        </w:rPr>
        <w:t xml:space="preserve">Les </w:t>
      </w:r>
      <w:proofErr w:type="spellStart"/>
      <w:r>
        <w:rPr>
          <w:rFonts w:eastAsiaTheme="minorHAnsi" w:cstheme="minorBidi"/>
          <w:szCs w:val="22"/>
        </w:rPr>
        <w:t>recommandations</w:t>
      </w:r>
      <w:proofErr w:type="spellEnd"/>
      <w:r>
        <w:rPr>
          <w:rFonts w:eastAsiaTheme="minorHAnsi" w:cstheme="minorBidi"/>
          <w:szCs w:val="22"/>
        </w:rPr>
        <w:t xml:space="preserve"> </w:t>
      </w:r>
      <w:proofErr w:type="spellStart"/>
      <w:r w:rsidR="00DC47D9">
        <w:rPr>
          <w:rFonts w:eastAsiaTheme="minorHAnsi" w:cstheme="minorBidi"/>
          <w:szCs w:val="22"/>
        </w:rPr>
        <w:t>visent</w:t>
      </w:r>
      <w:proofErr w:type="spellEnd"/>
      <w:r w:rsidR="00DC47D9">
        <w:rPr>
          <w:rFonts w:eastAsiaTheme="minorHAnsi" w:cstheme="minorBidi"/>
          <w:szCs w:val="22"/>
        </w:rPr>
        <w:t xml:space="preserve"> </w:t>
      </w:r>
      <w:proofErr w:type="spellStart"/>
      <w:r>
        <w:rPr>
          <w:rFonts w:eastAsiaTheme="minorHAnsi" w:cstheme="minorBidi"/>
          <w:szCs w:val="22"/>
        </w:rPr>
        <w:t>en</w:t>
      </w:r>
      <w:proofErr w:type="spellEnd"/>
      <w:r>
        <w:rPr>
          <w:rFonts w:eastAsiaTheme="minorHAnsi" w:cstheme="minorBidi"/>
          <w:szCs w:val="22"/>
        </w:rPr>
        <w:t xml:space="preserve"> </w:t>
      </w:r>
      <w:proofErr w:type="gramStart"/>
      <w:r>
        <w:rPr>
          <w:rFonts w:eastAsiaTheme="minorHAnsi" w:cstheme="minorBidi"/>
          <w:szCs w:val="22"/>
        </w:rPr>
        <w:t>particulier :</w:t>
      </w:r>
      <w:proofErr w:type="gramEnd"/>
    </w:p>
    <w:p w:rsidR="004B7D57" w:rsidRPr="00057CAF" w:rsidRDefault="00DC47D9" w:rsidP="005F594E">
      <w:pPr>
        <w:pStyle w:val="bullets"/>
        <w:rPr>
          <w:lang w:val="fr-FR" w:eastAsia="pl-PL"/>
        </w:rPr>
      </w:pPr>
      <w:r w:rsidRPr="00057CAF">
        <w:rPr>
          <w:lang w:val="fr-FR"/>
        </w:rPr>
        <w:t>La cohérence et l’articulation entre les deux piliers</w:t>
      </w:r>
      <w:r w:rsidR="008705B6" w:rsidRPr="00057CAF">
        <w:rPr>
          <w:lang w:val="fr-FR"/>
        </w:rPr>
        <w:t xml:space="preserve"> de la PAC</w:t>
      </w:r>
      <w:r w:rsidRPr="00057CAF">
        <w:rPr>
          <w:lang w:val="fr-FR"/>
        </w:rPr>
        <w:t xml:space="preserve"> : éviter </w:t>
      </w:r>
      <w:r w:rsidR="004B7D57" w:rsidRPr="00057CAF">
        <w:rPr>
          <w:lang w:val="fr-FR"/>
        </w:rPr>
        <w:t xml:space="preserve">la contradiction entre les aides couplées du premier pilier de la PAC </w:t>
      </w:r>
      <w:r w:rsidR="00267C6A" w:rsidRPr="00057CAF">
        <w:rPr>
          <w:lang w:val="fr-FR"/>
        </w:rPr>
        <w:t xml:space="preserve">et les </w:t>
      </w:r>
      <w:r w:rsidR="004B7D57" w:rsidRPr="00057CAF">
        <w:rPr>
          <w:lang w:val="fr-FR"/>
        </w:rPr>
        <w:t>mesures du PDR</w:t>
      </w:r>
      <w:r w:rsidR="00267C6A" w:rsidRPr="00057CAF">
        <w:rPr>
          <w:lang w:val="fr-FR"/>
        </w:rPr>
        <w:t xml:space="preserve"> en faveur de la réduction de charge ou de l’agriculture biologique (envisager </w:t>
      </w:r>
      <w:r w:rsidR="004B7D57" w:rsidRPr="00057CAF">
        <w:rPr>
          <w:lang w:val="fr-FR"/>
        </w:rPr>
        <w:t>d’autres formes de soutien aux éleveurs</w:t>
      </w:r>
      <w:r w:rsidR="00267C6A" w:rsidRPr="00057CAF">
        <w:rPr>
          <w:lang w:val="fr-FR"/>
        </w:rPr>
        <w:t>)</w:t>
      </w:r>
      <w:r w:rsidR="004B7D57" w:rsidRPr="00057CAF">
        <w:rPr>
          <w:lang w:val="fr-FR"/>
        </w:rPr>
        <w:t> ;</w:t>
      </w:r>
      <w:r w:rsidRPr="00057CAF">
        <w:rPr>
          <w:lang w:val="fr-FR"/>
        </w:rPr>
        <w:t xml:space="preserve"> </w:t>
      </w:r>
      <w:r w:rsidR="00C830FB" w:rsidRPr="00057CAF">
        <w:rPr>
          <w:lang w:val="fr-FR"/>
        </w:rPr>
        <w:t xml:space="preserve">évaluer l’efficacité des mesures de verdissement pour en tirer les conséquences, en vue notamment des </w:t>
      </w:r>
      <w:r w:rsidRPr="00057CAF">
        <w:rPr>
          <w:lang w:val="fr-FR"/>
        </w:rPr>
        <w:t xml:space="preserve"> « ecoschemes » envisagés dans la future PAC</w:t>
      </w:r>
      <w:r w:rsidR="00C830FB" w:rsidRPr="00057CAF">
        <w:rPr>
          <w:lang w:val="fr-FR"/>
        </w:rPr>
        <w:t xml:space="preserve">, qui devraient être coordonnés </w:t>
      </w:r>
      <w:r w:rsidRPr="00057CAF">
        <w:rPr>
          <w:lang w:val="fr-FR"/>
        </w:rPr>
        <w:t>avec les MAEC</w:t>
      </w:r>
      <w:r w:rsidR="00C830FB" w:rsidRPr="00057CAF">
        <w:rPr>
          <w:lang w:val="fr-FR"/>
        </w:rPr>
        <w:t xml:space="preserve"> et autres mesures du PDR</w:t>
      </w:r>
      <w:r w:rsidRPr="00057CAF">
        <w:rPr>
          <w:lang w:val="fr-FR"/>
        </w:rPr>
        <w:t xml:space="preserve"> ; </w:t>
      </w:r>
    </w:p>
    <w:p w:rsidR="008705B6" w:rsidRPr="00057CAF" w:rsidRDefault="00C830FB" w:rsidP="005F594E">
      <w:pPr>
        <w:pStyle w:val="bullets"/>
        <w:rPr>
          <w:lang w:val="fr-FR"/>
        </w:rPr>
      </w:pPr>
      <w:r w:rsidRPr="00057CAF">
        <w:rPr>
          <w:lang w:val="fr-FR"/>
        </w:rPr>
        <w:lastRenderedPageBreak/>
        <w:t xml:space="preserve">Le renforcement des </w:t>
      </w:r>
      <w:r w:rsidR="008705B6" w:rsidRPr="00057CAF">
        <w:rPr>
          <w:lang w:val="fr-FR"/>
        </w:rPr>
        <w:t>conditionnalités et règles de base</w:t>
      </w:r>
      <w:r w:rsidRPr="00057CAF">
        <w:rPr>
          <w:lang w:val="fr-FR"/>
        </w:rPr>
        <w:t xml:space="preserve"> et de leur respect, de manière à ce que </w:t>
      </w:r>
      <w:r w:rsidR="008705B6" w:rsidRPr="00057CAF">
        <w:rPr>
          <w:lang w:val="fr-FR"/>
        </w:rPr>
        <w:t xml:space="preserve"> les MAEC </w:t>
      </w:r>
      <w:r w:rsidRPr="00057CAF">
        <w:rPr>
          <w:lang w:val="fr-FR"/>
        </w:rPr>
        <w:t>jouent pleinement leur rôle complémentaire (</w:t>
      </w:r>
      <w:r w:rsidR="008705B6" w:rsidRPr="00057CAF">
        <w:rPr>
          <w:lang w:val="fr-FR"/>
        </w:rPr>
        <w:t>par exemple l’effectivité des zones tampon de protection des eaux</w:t>
      </w:r>
      <w:r w:rsidRPr="00057CAF">
        <w:rPr>
          <w:lang w:val="fr-FR"/>
        </w:rPr>
        <w:t>) ;</w:t>
      </w:r>
    </w:p>
    <w:p w:rsidR="00C830FB" w:rsidRPr="00057CAF" w:rsidRDefault="00253362" w:rsidP="005F594E">
      <w:pPr>
        <w:pStyle w:val="bullets"/>
        <w:rPr>
          <w:lang w:val="fr-FR"/>
        </w:rPr>
      </w:pPr>
      <w:r w:rsidRPr="00057CAF">
        <w:rPr>
          <w:lang w:val="fr-FR"/>
        </w:rPr>
        <w:t>Une mise en œuvre plus systématique du principe pollueur-payeur en agriculture, par exemple à travers une responsabilisation envers les dommages de coulées boueuses quand des précautions minima n’ont pas été remplies, ou par des zones de compensation écologique en cas de cultures à fortes pressions environnementales (pomme de terre non bio, éventuellement sapin de Noël sous certaines conditions de production) ;</w:t>
      </w:r>
    </w:p>
    <w:p w:rsidR="004B7D57" w:rsidRPr="00057CAF" w:rsidRDefault="008705B6" w:rsidP="005F594E">
      <w:pPr>
        <w:pStyle w:val="bullets"/>
        <w:rPr>
          <w:lang w:val="fr-FR"/>
        </w:rPr>
      </w:pPr>
      <w:r w:rsidRPr="00057CAF">
        <w:rPr>
          <w:lang w:val="fr-FR"/>
        </w:rPr>
        <w:t>Les synergies entre PDR et politiques de soutien aux produits différenciés (biologiques notamment)</w:t>
      </w:r>
      <w:r w:rsidR="004B7D57" w:rsidRPr="00057CAF">
        <w:rPr>
          <w:lang w:val="fr-FR"/>
        </w:rPr>
        <w:t xml:space="preserve"> ; </w:t>
      </w:r>
    </w:p>
    <w:p w:rsidR="004B7D57" w:rsidRPr="00057CAF" w:rsidRDefault="008705B6" w:rsidP="005F594E">
      <w:pPr>
        <w:pStyle w:val="bullets"/>
        <w:rPr>
          <w:u w:val="single"/>
          <w:lang w:val="fr-FR"/>
        </w:rPr>
      </w:pPr>
      <w:r w:rsidRPr="00057CAF">
        <w:rPr>
          <w:lang w:val="fr-FR"/>
        </w:rPr>
        <w:t xml:space="preserve">La cohérence entre PDR et </w:t>
      </w:r>
      <w:r w:rsidR="004B7D57" w:rsidRPr="00057CAF">
        <w:rPr>
          <w:lang w:val="fr-FR"/>
        </w:rPr>
        <w:t xml:space="preserve">PGDA </w:t>
      </w:r>
      <w:r w:rsidRPr="00057CAF">
        <w:rPr>
          <w:lang w:val="fr-FR"/>
        </w:rPr>
        <w:t>ou</w:t>
      </w:r>
      <w:r w:rsidR="004B7D57" w:rsidRPr="00057CAF">
        <w:rPr>
          <w:lang w:val="fr-FR"/>
        </w:rPr>
        <w:t xml:space="preserve"> directive-cadre eau : déduction des zones non épandables pour le calcul du TLS dans le cadre du PGDA. </w:t>
      </w:r>
    </w:p>
    <w:p w:rsidR="004B7D57" w:rsidRPr="00057CAF" w:rsidRDefault="008705B6" w:rsidP="005F594E">
      <w:pPr>
        <w:pStyle w:val="bullets"/>
        <w:rPr>
          <w:rFonts w:cstheme="minorHAnsi"/>
          <w:lang w:val="fr-FR"/>
        </w:rPr>
      </w:pPr>
      <w:r w:rsidRPr="00057CAF">
        <w:rPr>
          <w:lang w:val="fr-FR"/>
        </w:rPr>
        <w:t xml:space="preserve">Les </w:t>
      </w:r>
      <w:r w:rsidR="004B7D57" w:rsidRPr="00057CAF">
        <w:rPr>
          <w:lang w:val="fr-FR"/>
        </w:rPr>
        <w:t xml:space="preserve"> complémentarités avec l’aménagement du territoire, dont dépendent l’occupation des terres mais aussi les besoins de </w:t>
      </w:r>
      <w:r w:rsidR="004B7D57" w:rsidRPr="00057CAF">
        <w:rPr>
          <w:rFonts w:cstheme="minorHAnsi"/>
          <w:lang w:val="fr-FR"/>
        </w:rPr>
        <w:t xml:space="preserve">transport et leurs pressions sur le climat (répartition de la production agricole par rapport à la ferme et aux consommateurs, services de proximité y compris services écosystémiques, etc.) ; </w:t>
      </w:r>
    </w:p>
    <w:p w:rsidR="006619F1" w:rsidRPr="00057CAF" w:rsidRDefault="008705B6" w:rsidP="005F594E">
      <w:pPr>
        <w:pStyle w:val="bullets"/>
        <w:rPr>
          <w:lang w:val="fr-FR"/>
        </w:rPr>
      </w:pPr>
      <w:r w:rsidRPr="00057CAF">
        <w:rPr>
          <w:lang w:val="fr-FR"/>
        </w:rPr>
        <w:t xml:space="preserve">La politique foncière : </w:t>
      </w:r>
      <w:r w:rsidR="004B7D57" w:rsidRPr="00057CAF">
        <w:rPr>
          <w:lang w:val="fr-FR"/>
        </w:rPr>
        <w:t xml:space="preserve">porter attention </w:t>
      </w:r>
      <w:r w:rsidRPr="00057CAF">
        <w:rPr>
          <w:lang w:val="fr-FR"/>
        </w:rPr>
        <w:t xml:space="preserve">aux implications environnementales des </w:t>
      </w:r>
      <w:r w:rsidR="004B7D57" w:rsidRPr="00057CAF">
        <w:rPr>
          <w:lang w:val="fr-FR"/>
        </w:rPr>
        <w:t>mode</w:t>
      </w:r>
      <w:r w:rsidRPr="00057CAF">
        <w:rPr>
          <w:lang w:val="fr-FR"/>
        </w:rPr>
        <w:t>s</w:t>
      </w:r>
      <w:r w:rsidR="004B7D57" w:rsidRPr="00057CAF">
        <w:rPr>
          <w:lang w:val="fr-FR"/>
        </w:rPr>
        <w:t xml:space="preserve"> de faire-valoir, </w:t>
      </w:r>
      <w:r w:rsidRPr="00057CAF">
        <w:rPr>
          <w:lang w:val="fr-FR"/>
        </w:rPr>
        <w:t>de la perte du caractère familial des exploitations, du jeu des prêts de terre, d</w:t>
      </w:r>
      <w:r w:rsidR="004B7D57" w:rsidRPr="00057CAF">
        <w:rPr>
          <w:lang w:val="fr-FR"/>
        </w:rPr>
        <w:t xml:space="preserve">es contrats envers les entreprises et </w:t>
      </w:r>
      <w:r w:rsidRPr="00057CAF">
        <w:rPr>
          <w:lang w:val="fr-FR"/>
        </w:rPr>
        <w:t>de l</w:t>
      </w:r>
      <w:r w:rsidR="004B7D57" w:rsidRPr="00057CAF">
        <w:rPr>
          <w:lang w:val="fr-FR"/>
        </w:rPr>
        <w:t>’endettement envers la conservation du patrimoine sol</w:t>
      </w:r>
      <w:r w:rsidR="006619F1" w:rsidRPr="00057CAF">
        <w:rPr>
          <w:lang w:val="fr-FR"/>
        </w:rPr>
        <w:t> ;</w:t>
      </w:r>
    </w:p>
    <w:p w:rsidR="00D26C26" w:rsidRPr="00057CAF" w:rsidRDefault="006619F1" w:rsidP="005F594E">
      <w:pPr>
        <w:pStyle w:val="bullets"/>
        <w:rPr>
          <w:lang w:val="fr-FR"/>
        </w:rPr>
      </w:pPr>
      <w:r w:rsidRPr="00057CAF">
        <w:rPr>
          <w:rFonts w:cstheme="minorHAnsi"/>
          <w:lang w:val="fr-FR"/>
        </w:rPr>
        <w:t>La responsabilité des agriculteurs pour certaines externalités négatives (notamment les coulées boueuses si certaines mesures minimales n’ont pas été prises de leur part)</w:t>
      </w:r>
      <w:r w:rsidR="00D26C26" w:rsidRPr="00057CAF">
        <w:rPr>
          <w:rFonts w:cstheme="minorHAnsi"/>
          <w:lang w:val="fr-FR"/>
        </w:rPr>
        <w:t> ;</w:t>
      </w:r>
    </w:p>
    <w:p w:rsidR="006619F1" w:rsidRPr="00057CAF" w:rsidRDefault="00D26C26" w:rsidP="005F594E">
      <w:pPr>
        <w:pStyle w:val="bullets"/>
        <w:rPr>
          <w:lang w:val="fr-FR"/>
        </w:rPr>
      </w:pPr>
      <w:r w:rsidRPr="00057CAF">
        <w:rPr>
          <w:rFonts w:cstheme="minorHAnsi"/>
          <w:lang w:val="fr-FR"/>
        </w:rPr>
        <w:t>L’harmonisation des conditionnalités entre régions voisines, dans la mesure où des règles plus strictes en Flandre semblent avoir incité à une croissance de la culture de pomme de terre (vectrice de diverses pressions environnementales) vers la Wallonie</w:t>
      </w:r>
      <w:r w:rsidR="006619F1" w:rsidRPr="00057CAF">
        <w:rPr>
          <w:rFonts w:cstheme="minorHAnsi"/>
          <w:lang w:val="fr-FR"/>
        </w:rPr>
        <w:t>.</w:t>
      </w:r>
    </w:p>
    <w:p w:rsidR="00FF3996" w:rsidRDefault="00FF3996" w:rsidP="005F594E">
      <w:pPr>
        <w:pStyle w:val="Titre3"/>
      </w:pPr>
      <w:bookmarkStart w:id="151" w:name="_Toc11278989"/>
      <w:bookmarkStart w:id="152" w:name="_Toc11333834"/>
      <w:bookmarkStart w:id="153" w:name="_Toc25688806"/>
      <w:r>
        <w:t xml:space="preserve">Le choix des </w:t>
      </w:r>
      <w:r w:rsidR="008F2CE5">
        <w:t xml:space="preserve">mesures et </w:t>
      </w:r>
      <w:r>
        <w:t>stratégies d’atteinte des objectifs</w:t>
      </w:r>
      <w:bookmarkEnd w:id="151"/>
      <w:bookmarkEnd w:id="152"/>
      <w:bookmarkEnd w:id="153"/>
    </w:p>
    <w:p w:rsidR="00F91A72" w:rsidRPr="00057CAF" w:rsidRDefault="00F91A72" w:rsidP="00F91A72">
      <w:pPr>
        <w:rPr>
          <w:lang w:val="fr-FR"/>
        </w:rPr>
      </w:pPr>
      <w:r w:rsidRPr="00057CAF">
        <w:rPr>
          <w:rFonts w:eastAsiaTheme="minorHAnsi" w:cstheme="minorBidi"/>
          <w:szCs w:val="22"/>
          <w:lang w:val="fr-FR"/>
        </w:rPr>
        <w:t xml:space="preserve">Le défi général en matière d’environnement est de réconcilier les pratiques des acteurs individuels avec les demandes collectives. Une panoplie d’approches est utilisée à cette fin, dont la réglementation, les conditionnalités, les paiements pour compensation de contraintes ou en échange de pratiques ou de services, les appuis à l’utilisation efficience des facteurs de production qui jouent à la fois comme sources de coûts privés et d’externalités sociales (efficience énergétique, efficience des engrais et autres intrants, efficience azotée du bétail). </w:t>
      </w:r>
    </w:p>
    <w:p w:rsidR="00640D38" w:rsidRPr="00057CAF" w:rsidRDefault="00FF3996" w:rsidP="00640D38">
      <w:pPr>
        <w:rPr>
          <w:lang w:val="fr-FR"/>
        </w:rPr>
      </w:pPr>
      <w:r w:rsidRPr="00057CAF">
        <w:rPr>
          <w:lang w:val="fr-FR"/>
        </w:rPr>
        <w:t xml:space="preserve">Les recommandations sont </w:t>
      </w:r>
      <w:r w:rsidR="006619F1" w:rsidRPr="00057CAF">
        <w:rPr>
          <w:lang w:val="fr-FR"/>
        </w:rPr>
        <w:t>les suivantes</w:t>
      </w:r>
      <w:r w:rsidRPr="00057CAF">
        <w:rPr>
          <w:lang w:val="fr-FR"/>
        </w:rPr>
        <w:t xml:space="preserve"> </w:t>
      </w:r>
      <w:r w:rsidR="00640D38" w:rsidRPr="00057CAF">
        <w:rPr>
          <w:lang w:val="fr-FR"/>
        </w:rPr>
        <w:t>:</w:t>
      </w:r>
    </w:p>
    <w:p w:rsidR="005F594E" w:rsidRPr="00057CAF" w:rsidRDefault="005F594E" w:rsidP="00640D38">
      <w:pPr>
        <w:rPr>
          <w:b/>
          <w:lang w:val="fr-FR"/>
        </w:rPr>
      </w:pPr>
    </w:p>
    <w:p w:rsidR="006619F1" w:rsidRPr="00057CAF" w:rsidRDefault="006619F1" w:rsidP="00640D38">
      <w:pPr>
        <w:rPr>
          <w:b/>
          <w:lang w:val="fr-FR"/>
        </w:rPr>
      </w:pPr>
      <w:r w:rsidRPr="00057CAF">
        <w:rPr>
          <w:b/>
          <w:lang w:val="fr-FR"/>
        </w:rPr>
        <w:t>Alignement sur les objectifs</w:t>
      </w:r>
      <w:r w:rsidR="00143C3F" w:rsidRPr="00057CAF">
        <w:rPr>
          <w:b/>
          <w:lang w:val="fr-FR"/>
        </w:rPr>
        <w:t xml:space="preserve"> de transition vers un modèle plus durable</w:t>
      </w:r>
    </w:p>
    <w:p w:rsidR="006619F1" w:rsidRPr="00057CAF" w:rsidRDefault="00143C3F" w:rsidP="005F594E">
      <w:pPr>
        <w:pStyle w:val="bullets"/>
        <w:rPr>
          <w:lang w:val="fr-FR"/>
        </w:rPr>
      </w:pPr>
      <w:r w:rsidRPr="00057CAF">
        <w:rPr>
          <w:lang w:val="fr-FR"/>
        </w:rPr>
        <w:t xml:space="preserve">Réserver l’appui à l’installation aux </w:t>
      </w:r>
      <w:r w:rsidR="006619F1" w:rsidRPr="00057CAF">
        <w:rPr>
          <w:lang w:val="fr-FR"/>
        </w:rPr>
        <w:t xml:space="preserve">jeunes qui </w:t>
      </w:r>
      <w:r w:rsidRPr="00057CAF">
        <w:rPr>
          <w:lang w:val="fr-FR"/>
        </w:rPr>
        <w:t xml:space="preserve">portent </w:t>
      </w:r>
      <w:r w:rsidR="006619F1" w:rsidRPr="00057CAF">
        <w:rPr>
          <w:lang w:val="fr-FR"/>
        </w:rPr>
        <w:t xml:space="preserve">un </w:t>
      </w:r>
      <w:r w:rsidRPr="00057CAF">
        <w:rPr>
          <w:lang w:val="fr-FR"/>
        </w:rPr>
        <w:t xml:space="preserve">projet </w:t>
      </w:r>
      <w:r w:rsidR="006619F1" w:rsidRPr="00057CAF">
        <w:rPr>
          <w:lang w:val="fr-FR"/>
        </w:rPr>
        <w:t>novateur contributif de la transition vers un modèle plus durable</w:t>
      </w:r>
      <w:r w:rsidRPr="00057CAF">
        <w:rPr>
          <w:lang w:val="fr-FR"/>
        </w:rPr>
        <w:t> ;</w:t>
      </w:r>
    </w:p>
    <w:p w:rsidR="00143C3F" w:rsidRPr="00057CAF" w:rsidRDefault="00143C3F" w:rsidP="005F594E">
      <w:pPr>
        <w:pStyle w:val="bullets"/>
        <w:rPr>
          <w:lang w:val="fr-FR"/>
        </w:rPr>
      </w:pPr>
      <w:r w:rsidRPr="00057CAF">
        <w:rPr>
          <w:lang w:val="fr-FR"/>
        </w:rPr>
        <w:t>Renforcer l’innovation dans la seule mesure où il s’agit d’innovation pour la transition écologique ;</w:t>
      </w:r>
    </w:p>
    <w:p w:rsidR="00143C3F" w:rsidRPr="00057CAF" w:rsidRDefault="00143C3F" w:rsidP="005F594E">
      <w:pPr>
        <w:pStyle w:val="bullets"/>
        <w:rPr>
          <w:lang w:val="fr-FR"/>
        </w:rPr>
      </w:pPr>
      <w:r w:rsidRPr="00057CAF">
        <w:rPr>
          <w:rFonts w:cstheme="minorHAnsi"/>
          <w:lang w:val="fr-FR"/>
        </w:rPr>
        <w:t>Renforcer les exigences de durabilité environnementale dans le choix du matériel (normes et fonctions du matériel) ainsi que les normes énergétiques et d’écoconstruction dans les divers bâtiments soutenus par le PDR (agricoles ou non) ;</w:t>
      </w:r>
    </w:p>
    <w:p w:rsidR="00956150" w:rsidRPr="00057CAF" w:rsidRDefault="006619F1" w:rsidP="005F594E">
      <w:pPr>
        <w:pStyle w:val="bullets"/>
        <w:rPr>
          <w:rFonts w:cstheme="minorHAnsi"/>
          <w:lang w:val="fr-FR"/>
        </w:rPr>
      </w:pPr>
      <w:r w:rsidRPr="00057CAF">
        <w:rPr>
          <w:lang w:val="fr-FR"/>
        </w:rPr>
        <w:t xml:space="preserve">Elargir l’éligibilité de manière à répondre aux exigences logiques des objectifs : </w:t>
      </w:r>
      <w:r w:rsidR="00956150" w:rsidRPr="00057CAF">
        <w:rPr>
          <w:lang w:val="fr-FR"/>
        </w:rPr>
        <w:t>ceci peut impliquer d’i</w:t>
      </w:r>
      <w:r w:rsidR="00956150" w:rsidRPr="00057CAF">
        <w:rPr>
          <w:rFonts w:cstheme="minorHAnsi"/>
          <w:lang w:val="fr-FR"/>
        </w:rPr>
        <w:t xml:space="preserve">ncorporer davantage dans les superficies agricoles donnant lieu à paiement les espaces incultes dévolus à la nature, notamment les haies qui s’étoffent et les prairies naturelles plus ou moins embroussaillées ; en parallèle il convient d’envisager d’élargir l’éligibilité vers des </w:t>
      </w:r>
      <w:r w:rsidRPr="00057CAF">
        <w:rPr>
          <w:lang w:val="fr-FR"/>
        </w:rPr>
        <w:lastRenderedPageBreak/>
        <w:t xml:space="preserve">communes non classées comme rurales ou </w:t>
      </w:r>
      <w:r w:rsidR="00956150" w:rsidRPr="00057CAF">
        <w:rPr>
          <w:lang w:val="fr-FR"/>
        </w:rPr>
        <w:t xml:space="preserve">vers une plus large gamme </w:t>
      </w:r>
      <w:r w:rsidRPr="00057CAF">
        <w:rPr>
          <w:lang w:val="fr-FR"/>
        </w:rPr>
        <w:t xml:space="preserve">de gestionnaires </w:t>
      </w:r>
      <w:r w:rsidR="00956150" w:rsidRPr="00057CAF">
        <w:rPr>
          <w:lang w:val="fr-FR"/>
        </w:rPr>
        <w:t>de l’espace</w:t>
      </w:r>
      <w:r w:rsidR="00143C3F" w:rsidRPr="00057CAF">
        <w:rPr>
          <w:lang w:val="fr-FR"/>
        </w:rPr>
        <w:t>.</w:t>
      </w:r>
      <w:r w:rsidR="00956150" w:rsidRPr="00057CAF">
        <w:rPr>
          <w:rFonts w:cstheme="minorHAnsi"/>
          <w:lang w:val="fr-FR"/>
        </w:rPr>
        <w:t xml:space="preserve"> </w:t>
      </w:r>
    </w:p>
    <w:p w:rsidR="006619F1" w:rsidRPr="00057CAF" w:rsidRDefault="00956150" w:rsidP="005F594E">
      <w:pPr>
        <w:pStyle w:val="bullets"/>
        <w:rPr>
          <w:rFonts w:cstheme="minorHAnsi"/>
          <w:lang w:val="fr-FR"/>
        </w:rPr>
      </w:pPr>
      <w:r w:rsidRPr="00057CAF">
        <w:rPr>
          <w:rFonts w:cstheme="minorHAnsi"/>
          <w:lang w:val="fr-FR"/>
        </w:rPr>
        <w:t xml:space="preserve">Dans ce cadre, envisager des « MEC », mesures environnementales et climatiques analogues aux MAEC qui soient accessibles aux gestionnaires de l’espace autres que les agriculteurs, ou envisager l’utilisation des MAEC pour la gestion de tels espaces (par exemple des terrains communaux) par les agriculteurs, ou encore des MEC ou MAEC groupées, attribuées collectivement aux acteurs de projets collectifs centrés sur la gestion d’un paysage partagé. En effet, la plupart des MAEC étant mises en œuvre de manière dispersée et indépendante, leur impact sur la biodiversité et les paysages reste généralement bien plus limité que si elles étaient organisées au sein d’un territoire en fonction d’objectifs communs, en lien avec les autres instruments existants (par exemple les PCDN) et sans que les efforts ne soient limités au sein de l’espace agricole (du moins pour les espèces qui n’y sont pas strictement confinées). </w:t>
      </w:r>
    </w:p>
    <w:p w:rsidR="006619F1" w:rsidRPr="001565F4" w:rsidRDefault="006619F1" w:rsidP="00640D38">
      <w:pPr>
        <w:rPr>
          <w:rFonts w:eastAsiaTheme="minorHAnsi" w:cstheme="minorHAnsi"/>
          <w:b/>
          <w:szCs w:val="22"/>
        </w:rPr>
      </w:pPr>
      <w:proofErr w:type="spellStart"/>
      <w:r w:rsidRPr="001565F4">
        <w:rPr>
          <w:b/>
        </w:rPr>
        <w:t>Ciblage</w:t>
      </w:r>
      <w:proofErr w:type="spellEnd"/>
      <w:r w:rsidRPr="001565F4">
        <w:rPr>
          <w:b/>
        </w:rPr>
        <w:t xml:space="preserve"> et concentration dans </w:t>
      </w:r>
      <w:proofErr w:type="spellStart"/>
      <w:r w:rsidRPr="001565F4">
        <w:rPr>
          <w:b/>
        </w:rPr>
        <w:t>l’espace</w:t>
      </w:r>
      <w:proofErr w:type="spellEnd"/>
    </w:p>
    <w:p w:rsidR="00640D38" w:rsidRPr="00057CAF" w:rsidRDefault="00FF3996" w:rsidP="005F594E">
      <w:pPr>
        <w:pStyle w:val="bullets"/>
        <w:rPr>
          <w:lang w:val="fr-FR"/>
        </w:rPr>
      </w:pPr>
      <w:r w:rsidRPr="00057CAF">
        <w:rPr>
          <w:lang w:val="fr-FR"/>
        </w:rPr>
        <w:t xml:space="preserve">Renforcer le ciblage des </w:t>
      </w:r>
      <w:r w:rsidR="00640D38" w:rsidRPr="00057CAF">
        <w:rPr>
          <w:lang w:val="fr-FR"/>
        </w:rPr>
        <w:t>efforts</w:t>
      </w:r>
      <w:r w:rsidRPr="00057CAF">
        <w:rPr>
          <w:lang w:val="fr-FR"/>
        </w:rPr>
        <w:t xml:space="preserve"> et la synergie des actions sur des objectifs spatialement déterminés</w:t>
      </w:r>
      <w:r w:rsidR="00640D38" w:rsidRPr="00057CAF">
        <w:rPr>
          <w:lang w:val="fr-FR"/>
        </w:rPr>
        <w:t xml:space="preserve">, </w:t>
      </w:r>
      <w:r w:rsidR="0044652C" w:rsidRPr="00057CAF">
        <w:rPr>
          <w:lang w:val="fr-FR"/>
        </w:rPr>
        <w:t xml:space="preserve">notamment pour la </w:t>
      </w:r>
      <w:r w:rsidR="00BF3DC8" w:rsidRPr="00057CAF">
        <w:rPr>
          <w:lang w:val="fr-FR"/>
        </w:rPr>
        <w:t xml:space="preserve">biodiversité des espaces agricoles, la </w:t>
      </w:r>
      <w:r w:rsidR="0044652C" w:rsidRPr="00057CAF">
        <w:rPr>
          <w:lang w:val="fr-FR"/>
        </w:rPr>
        <w:t>protection des eaux et la prévention des ruissellements érosifs (des aspects où le ciblage est moins pratiqué que pour la biodiversité)</w:t>
      </w:r>
      <w:r w:rsidR="00640D38" w:rsidRPr="00057CAF">
        <w:rPr>
          <w:rFonts w:eastAsiaTheme="minorHAnsi" w:cstheme="minorBidi"/>
          <w:szCs w:val="22"/>
          <w:lang w:val="fr-FR"/>
        </w:rPr>
        <w:t xml:space="preserve">; </w:t>
      </w:r>
    </w:p>
    <w:p w:rsidR="006619F1" w:rsidRPr="00057CAF" w:rsidRDefault="006619F1" w:rsidP="005F594E">
      <w:pPr>
        <w:pStyle w:val="bullets"/>
        <w:rPr>
          <w:lang w:val="fr-FR"/>
        </w:rPr>
      </w:pPr>
      <w:r w:rsidRPr="00057CAF">
        <w:rPr>
          <w:lang w:val="fr-FR"/>
        </w:rPr>
        <w:t>Concentrer spatialement les efforts pour la biodiversité, notamment les oiseaux, pour obtenir une masse critique d’aménagements, en particulier dans les terres de culture.</w:t>
      </w:r>
    </w:p>
    <w:p w:rsidR="006619F1" w:rsidRPr="001565F4" w:rsidRDefault="006619F1" w:rsidP="006619F1">
      <w:pPr>
        <w:rPr>
          <w:b/>
        </w:rPr>
      </w:pPr>
      <w:r w:rsidRPr="001565F4">
        <w:rPr>
          <w:b/>
        </w:rPr>
        <w:t xml:space="preserve">Liaison des </w:t>
      </w:r>
      <w:proofErr w:type="spellStart"/>
      <w:r w:rsidRPr="001565F4">
        <w:rPr>
          <w:b/>
        </w:rPr>
        <w:t>paiements</w:t>
      </w:r>
      <w:proofErr w:type="spellEnd"/>
      <w:r w:rsidRPr="001565F4">
        <w:rPr>
          <w:b/>
        </w:rPr>
        <w:t xml:space="preserve"> aux </w:t>
      </w:r>
      <w:proofErr w:type="spellStart"/>
      <w:r w:rsidRPr="001565F4">
        <w:rPr>
          <w:b/>
        </w:rPr>
        <w:t>résultats</w:t>
      </w:r>
      <w:proofErr w:type="spellEnd"/>
    </w:p>
    <w:p w:rsidR="00240AF6" w:rsidRPr="00057CAF" w:rsidRDefault="00962E55" w:rsidP="005F594E">
      <w:pPr>
        <w:pStyle w:val="bullets"/>
        <w:rPr>
          <w:lang w:val="fr-FR"/>
        </w:rPr>
      </w:pPr>
      <w:r w:rsidRPr="00057CAF">
        <w:rPr>
          <w:lang w:val="fr-FR"/>
        </w:rPr>
        <w:t xml:space="preserve">Assurer une meilleure liaison de paiements à l’obtention d’un résultat et à la valeur du résultat, de manière à maximaliser leur effet incitatif et à optimiser l’allocation des dépenses publiques en fonction de leurs bénéfices. Le principe de paiements liés au manque à gagner pourrait donc être remis en question, pour évoluer vers des prix qui fonctionnent plutôt comme des signaux de la valeur attachée au résultat attendu. Si cette solution présente des limites (contraintes de mesurabilité du résultat, contraintes d’évaluation, insécurité de l’agriculteur), il convient d’au moins s’interroger sur les conditions de son applicabilité et veiller à éviter les effets incitatifs contre-productifs. Un risque particulier à prévenir dans le cas de cette solution est celui d’augmenter la vulnérabilité socio-économique des agriculteurs à la variabilité climatique. </w:t>
      </w:r>
    </w:p>
    <w:p w:rsidR="00240AF6" w:rsidRPr="00057CAF" w:rsidRDefault="00240AF6" w:rsidP="005F594E">
      <w:pPr>
        <w:pStyle w:val="bullets"/>
        <w:rPr>
          <w:lang w:val="fr-FR"/>
        </w:rPr>
      </w:pPr>
      <w:r w:rsidRPr="00057CAF">
        <w:rPr>
          <w:lang w:val="fr-FR"/>
        </w:rPr>
        <w:t>Si la rémunération au prorata des résultats était envisageable, des options seraient</w:t>
      </w:r>
      <w:r w:rsidR="00A779A8" w:rsidRPr="00057CAF">
        <w:rPr>
          <w:lang w:val="fr-FR"/>
        </w:rPr>
        <w:t xml:space="preserve"> de la lier, par exemple</w:t>
      </w:r>
      <w:r w:rsidRPr="00057CAF">
        <w:rPr>
          <w:lang w:val="fr-FR"/>
        </w:rPr>
        <w:t> :</w:t>
      </w:r>
    </w:p>
    <w:p w:rsidR="00240AF6" w:rsidRPr="00057CAF" w:rsidRDefault="00A779A8" w:rsidP="006B7DE1">
      <w:pPr>
        <w:pStyle w:val="Paragraphedeliste"/>
        <w:numPr>
          <w:ilvl w:val="1"/>
          <w:numId w:val="2"/>
        </w:numPr>
        <w:spacing w:after="60"/>
        <w:rPr>
          <w:rFonts w:ascii="Garamond" w:eastAsiaTheme="minorHAnsi" w:hAnsi="Garamond" w:cstheme="minorBidi"/>
          <w:szCs w:val="22"/>
          <w:lang w:val="fr-FR"/>
        </w:rPr>
      </w:pPr>
      <w:r w:rsidRPr="00057CAF">
        <w:rPr>
          <w:rFonts w:ascii="Garamond" w:eastAsiaTheme="minorHAnsi" w:hAnsi="Garamond" w:cstheme="minorBidi"/>
          <w:szCs w:val="22"/>
          <w:lang w:val="fr-FR"/>
        </w:rPr>
        <w:t>A</w:t>
      </w:r>
      <w:r w:rsidR="00240AF6" w:rsidRPr="00057CAF">
        <w:rPr>
          <w:rFonts w:ascii="Garamond" w:eastAsiaTheme="minorHAnsi" w:hAnsi="Garamond" w:cstheme="minorBidi"/>
          <w:szCs w:val="22"/>
          <w:lang w:val="fr-FR"/>
        </w:rPr>
        <w:t xml:space="preserve"> la teneur des sols cultivés en </w:t>
      </w:r>
      <w:r w:rsidR="00240AF6" w:rsidRPr="00057CAF">
        <w:rPr>
          <w:rFonts w:ascii="Garamond" w:eastAsiaTheme="minorHAnsi" w:hAnsi="Garamond" w:cstheme="minorBidi"/>
          <w:b/>
          <w:szCs w:val="22"/>
          <w:lang w:val="fr-FR"/>
        </w:rPr>
        <w:t>matière organique</w:t>
      </w:r>
      <w:r w:rsidR="00240AF6" w:rsidRPr="00057CAF">
        <w:rPr>
          <w:rFonts w:ascii="Garamond" w:eastAsiaTheme="minorHAnsi" w:hAnsi="Garamond" w:cstheme="minorBidi"/>
          <w:szCs w:val="22"/>
          <w:lang w:val="fr-FR"/>
        </w:rPr>
        <w:t xml:space="preserve">, à condition de ne pas encourager par-là la conversion des prairies. </w:t>
      </w:r>
    </w:p>
    <w:p w:rsidR="00962E55" w:rsidRPr="00057CAF" w:rsidRDefault="00A779A8" w:rsidP="006B7DE1">
      <w:pPr>
        <w:pStyle w:val="Paragraphedeliste"/>
        <w:numPr>
          <w:ilvl w:val="1"/>
          <w:numId w:val="2"/>
        </w:numPr>
        <w:rPr>
          <w:rFonts w:ascii="Garamond" w:eastAsiaTheme="minorHAnsi" w:hAnsi="Garamond" w:cstheme="minorBidi"/>
          <w:szCs w:val="22"/>
          <w:lang w:val="fr-FR"/>
        </w:rPr>
      </w:pPr>
      <w:r w:rsidRPr="00057CAF">
        <w:rPr>
          <w:rFonts w:ascii="Garamond" w:eastAsiaTheme="minorHAnsi" w:hAnsi="Garamond" w:cstheme="minorHAnsi"/>
          <w:szCs w:val="22"/>
          <w:lang w:val="fr-FR"/>
        </w:rPr>
        <w:t xml:space="preserve">A </w:t>
      </w:r>
      <w:r w:rsidR="00240AF6" w:rsidRPr="00057CAF">
        <w:rPr>
          <w:rFonts w:ascii="Garamond" w:eastAsiaTheme="minorHAnsi" w:hAnsi="Garamond" w:cstheme="minorHAnsi"/>
          <w:szCs w:val="22"/>
          <w:lang w:val="fr-FR"/>
        </w:rPr>
        <w:t>la réduction des émissions calculées par l’outil DECIDE développé par le CRA-W (</w:t>
      </w:r>
      <w:r w:rsidR="00962E55" w:rsidRPr="00057CAF">
        <w:rPr>
          <w:rFonts w:ascii="Garamond" w:eastAsiaTheme="minorHAnsi" w:hAnsi="Garamond" w:cstheme="minorBidi"/>
          <w:szCs w:val="22"/>
          <w:lang w:val="fr-FR"/>
        </w:rPr>
        <w:t xml:space="preserve">la référence </w:t>
      </w:r>
      <w:r w:rsidR="00240AF6" w:rsidRPr="00057CAF">
        <w:rPr>
          <w:rFonts w:ascii="Garamond" w:eastAsiaTheme="minorHAnsi" w:hAnsi="Garamond" w:cstheme="minorBidi"/>
          <w:szCs w:val="22"/>
          <w:lang w:val="fr-FR"/>
        </w:rPr>
        <w:t xml:space="preserve">serait </w:t>
      </w:r>
      <w:r w:rsidR="00962E55" w:rsidRPr="00057CAF">
        <w:rPr>
          <w:rFonts w:ascii="Garamond" w:eastAsiaTheme="minorHAnsi" w:hAnsi="Garamond" w:cstheme="minorBidi"/>
          <w:szCs w:val="22"/>
          <w:lang w:val="fr-FR"/>
        </w:rPr>
        <w:t xml:space="preserve">la situation initiale </w:t>
      </w:r>
      <w:r w:rsidR="00240AF6" w:rsidRPr="00057CAF">
        <w:rPr>
          <w:rFonts w:ascii="Garamond" w:eastAsiaTheme="minorHAnsi" w:hAnsi="Garamond" w:cstheme="minorBidi"/>
          <w:szCs w:val="22"/>
          <w:lang w:val="fr-FR"/>
        </w:rPr>
        <w:t xml:space="preserve">ou la situation d’avant les efforts déjà accomplis au préalable, </w:t>
      </w:r>
      <w:r w:rsidR="00962E55" w:rsidRPr="00057CAF">
        <w:rPr>
          <w:rFonts w:ascii="Garamond" w:eastAsiaTheme="minorHAnsi" w:hAnsi="Garamond" w:cstheme="minorBidi"/>
          <w:szCs w:val="22"/>
          <w:lang w:val="fr-FR"/>
        </w:rPr>
        <w:t>s’ils sont démontrables).</w:t>
      </w:r>
    </w:p>
    <w:p w:rsidR="00A779A8" w:rsidRPr="00057CAF" w:rsidRDefault="00A779A8" w:rsidP="006B7DE1">
      <w:pPr>
        <w:pStyle w:val="Paragraphedeliste"/>
        <w:numPr>
          <w:ilvl w:val="1"/>
          <w:numId w:val="2"/>
        </w:numPr>
        <w:rPr>
          <w:rFonts w:ascii="Garamond" w:eastAsiaTheme="minorHAnsi" w:hAnsi="Garamond" w:cstheme="minorBidi"/>
          <w:szCs w:val="22"/>
          <w:lang w:val="fr-FR"/>
        </w:rPr>
      </w:pPr>
      <w:r w:rsidRPr="00057CAF">
        <w:rPr>
          <w:rFonts w:ascii="Garamond" w:eastAsiaTheme="minorHAnsi" w:hAnsi="Garamond" w:cstheme="minorHAnsi"/>
          <w:szCs w:val="22"/>
          <w:lang w:val="fr-FR"/>
        </w:rPr>
        <w:t xml:space="preserve">Au pourcentage de la SAU maintenu en prairie permanente, comme alternative aux aides aux </w:t>
      </w:r>
      <w:r w:rsidRPr="00057CAF">
        <w:rPr>
          <w:rFonts w:ascii="Garamond" w:eastAsiaTheme="minorHAnsi" w:hAnsi="Garamond" w:cstheme="minorBidi"/>
          <w:szCs w:val="22"/>
          <w:lang w:val="fr-FR" w:eastAsia="pl-PL"/>
        </w:rPr>
        <w:t>éleveurs données dans le premier pilier en fonction du bétail ; le pourcentage étant préféré à la superficie absolue pour éviter de favoriser ceux qui disposent de grandes superficies.</w:t>
      </w:r>
    </w:p>
    <w:p w:rsidR="00956150" w:rsidRPr="001565F4" w:rsidRDefault="00956150" w:rsidP="00956150">
      <w:pPr>
        <w:rPr>
          <w:rFonts w:eastAsiaTheme="minorHAnsi"/>
          <w:b/>
        </w:rPr>
      </w:pPr>
      <w:proofErr w:type="spellStart"/>
      <w:r w:rsidRPr="001565F4">
        <w:rPr>
          <w:rFonts w:eastAsiaTheme="minorHAnsi"/>
          <w:b/>
        </w:rPr>
        <w:t>Incitations</w:t>
      </w:r>
      <w:proofErr w:type="spellEnd"/>
      <w:r w:rsidRPr="001565F4">
        <w:rPr>
          <w:rFonts w:eastAsiaTheme="minorHAnsi"/>
          <w:b/>
        </w:rPr>
        <w:t xml:space="preserve"> non </w:t>
      </w:r>
      <w:proofErr w:type="spellStart"/>
      <w:r w:rsidRPr="001565F4">
        <w:rPr>
          <w:rFonts w:eastAsiaTheme="minorHAnsi"/>
          <w:b/>
        </w:rPr>
        <w:t>financières</w:t>
      </w:r>
      <w:proofErr w:type="spellEnd"/>
    </w:p>
    <w:p w:rsidR="00962E55" w:rsidRPr="00057CAF" w:rsidRDefault="00962E55" w:rsidP="005F594E">
      <w:pPr>
        <w:pStyle w:val="bullets"/>
        <w:rPr>
          <w:rFonts w:cstheme="minorBidi"/>
          <w:lang w:val="fr-FR"/>
        </w:rPr>
      </w:pPr>
      <w:r w:rsidRPr="00057CAF">
        <w:rPr>
          <w:lang w:val="fr-FR"/>
        </w:rPr>
        <w:t>Valoriser aussi les motivations non financières dans l’engagement en faveur des MAEC, notamment le sens donné à l’action (conscience de l’utilité de ce qu’on fait, de l’existence d’une demande) et les liens sociaux qui l’encadrent</w:t>
      </w:r>
      <w:r w:rsidR="00100622" w:rsidRPr="00057CAF">
        <w:rPr>
          <w:lang w:val="fr-FR"/>
        </w:rPr>
        <w:t> : soutenir les approches territoriales à forte implication participative des agriculteurs (et autres gestionnaires directs de l’espace)</w:t>
      </w:r>
      <w:r w:rsidRPr="00057CAF">
        <w:rPr>
          <w:lang w:val="fr-FR"/>
        </w:rPr>
        <w:t>.</w:t>
      </w:r>
    </w:p>
    <w:p w:rsidR="00100622" w:rsidRPr="00057CAF" w:rsidRDefault="00100622" w:rsidP="005F594E">
      <w:pPr>
        <w:pStyle w:val="bullets"/>
        <w:rPr>
          <w:rFonts w:cstheme="minorBidi"/>
          <w:lang w:val="fr-FR"/>
        </w:rPr>
      </w:pPr>
      <w:r w:rsidRPr="00057CAF">
        <w:rPr>
          <w:lang w:val="fr-FR"/>
        </w:rPr>
        <w:t xml:space="preserve">Mettre en avant, peut-être en évitant le recours au concept de service écosystémique dans la mesure où il occulte le rôle de l’agriculteur, les divers bénéfices pour la société (y compris l’agriculture) qui sont mis en jeu par la manière dont les agrosystèmes sont gérés (éviter </w:t>
      </w:r>
      <w:r w:rsidRPr="00057CAF">
        <w:rPr>
          <w:lang w:val="fr-FR"/>
        </w:rPr>
        <w:lastRenderedPageBreak/>
        <w:t xml:space="preserve">toutefois que le message soit porté par des personnes prétendant mieux savoir que les agriculteurs ce qui leur convient). </w:t>
      </w:r>
    </w:p>
    <w:p w:rsidR="006619F1" w:rsidRPr="001565F4" w:rsidRDefault="00956150" w:rsidP="00956150">
      <w:pPr>
        <w:rPr>
          <w:rFonts w:eastAsiaTheme="minorHAnsi" w:cstheme="minorBidi"/>
          <w:b/>
          <w:szCs w:val="22"/>
        </w:rPr>
      </w:pPr>
      <w:proofErr w:type="spellStart"/>
      <w:r w:rsidRPr="001565F4">
        <w:rPr>
          <w:rFonts w:eastAsiaTheme="minorHAnsi" w:cstheme="minorBidi"/>
          <w:b/>
          <w:szCs w:val="22"/>
        </w:rPr>
        <w:t>Maîtrise</w:t>
      </w:r>
      <w:proofErr w:type="spellEnd"/>
      <w:r w:rsidRPr="001565F4">
        <w:rPr>
          <w:rFonts w:eastAsiaTheme="minorHAnsi" w:cstheme="minorBidi"/>
          <w:b/>
          <w:szCs w:val="22"/>
        </w:rPr>
        <w:t xml:space="preserve"> des </w:t>
      </w:r>
      <w:proofErr w:type="spellStart"/>
      <w:r w:rsidRPr="001565F4">
        <w:rPr>
          <w:rFonts w:eastAsiaTheme="minorHAnsi" w:cstheme="minorBidi"/>
          <w:b/>
          <w:szCs w:val="22"/>
        </w:rPr>
        <w:t>effets</w:t>
      </w:r>
      <w:proofErr w:type="spellEnd"/>
      <w:r w:rsidRPr="001565F4">
        <w:rPr>
          <w:rFonts w:eastAsiaTheme="minorHAnsi" w:cstheme="minorBidi"/>
          <w:b/>
          <w:szCs w:val="22"/>
        </w:rPr>
        <w:t xml:space="preserve"> non </w:t>
      </w:r>
      <w:proofErr w:type="spellStart"/>
      <w:r w:rsidRPr="001565F4">
        <w:rPr>
          <w:rFonts w:eastAsiaTheme="minorHAnsi" w:cstheme="minorBidi"/>
          <w:b/>
          <w:szCs w:val="22"/>
        </w:rPr>
        <w:t>intentionnels</w:t>
      </w:r>
      <w:proofErr w:type="spellEnd"/>
    </w:p>
    <w:p w:rsidR="00956150" w:rsidRPr="00057CAF" w:rsidRDefault="00956150" w:rsidP="005F594E">
      <w:pPr>
        <w:pStyle w:val="bullets"/>
        <w:rPr>
          <w:lang w:val="fr-FR"/>
        </w:rPr>
      </w:pPr>
      <w:r w:rsidRPr="00057CAF">
        <w:rPr>
          <w:lang w:val="fr-FR"/>
        </w:rPr>
        <w:t xml:space="preserve">Etudier et améliorer l’impact (mal connu et lié notamment aux aides surfaciques) du PDR sur la taille des exploitations et la dispersion spatiale des parcelles (voir aussi Q12). </w:t>
      </w:r>
    </w:p>
    <w:p w:rsidR="00956150" w:rsidRPr="00057CAF" w:rsidRDefault="00956150" w:rsidP="005F594E">
      <w:pPr>
        <w:pStyle w:val="bullets"/>
        <w:rPr>
          <w:lang w:val="fr-FR"/>
        </w:rPr>
      </w:pPr>
      <w:r w:rsidRPr="00057CAF">
        <w:rPr>
          <w:lang w:val="fr-FR"/>
        </w:rPr>
        <w:t>Envisager de différencier les paiements par zone pédoclimatique plutôt qu’en fonction de l’utilisation de la terre, de manière à assurer l’attractivité des MAEC dans les zones de grandes cultures sans y handicaper les prairies.</w:t>
      </w:r>
    </w:p>
    <w:p w:rsidR="00956150" w:rsidRPr="00057CAF" w:rsidRDefault="00100622" w:rsidP="00956150">
      <w:pPr>
        <w:rPr>
          <w:rFonts w:eastAsiaTheme="minorHAnsi" w:cstheme="minorBidi"/>
          <w:b/>
          <w:szCs w:val="22"/>
          <w:lang w:val="fr-FR"/>
        </w:rPr>
      </w:pPr>
      <w:r w:rsidRPr="00057CAF">
        <w:rPr>
          <w:rFonts w:eastAsiaTheme="minorHAnsi" w:cstheme="minorBidi"/>
          <w:b/>
          <w:szCs w:val="22"/>
          <w:lang w:val="fr-FR"/>
        </w:rPr>
        <w:t>Durabilité et montée en puissance du bénéfice environnemental</w:t>
      </w:r>
    </w:p>
    <w:p w:rsidR="00962E55" w:rsidRPr="00057CAF" w:rsidRDefault="00962E55" w:rsidP="005F594E">
      <w:pPr>
        <w:pStyle w:val="bullets"/>
        <w:rPr>
          <w:lang w:val="fr-FR"/>
        </w:rPr>
      </w:pPr>
      <w:r w:rsidRPr="00057CAF">
        <w:rPr>
          <w:rFonts w:cstheme="minorHAnsi"/>
          <w:lang w:val="fr-FR"/>
        </w:rPr>
        <w:t xml:space="preserve">Réfléchir au renforcement </w:t>
      </w:r>
      <w:r w:rsidRPr="00057CAF">
        <w:rPr>
          <w:lang w:val="fr-FR"/>
        </w:rPr>
        <w:t>de la durabilité des (éventuels) changements de comportements environnementaux induits par le PDR (en tant qu’autonomisation envers leur financement récurrent). Des incitations à la pérennité de mise en œuvre au-delà des 5 ans devraient pouvoir être envisagées.</w:t>
      </w:r>
    </w:p>
    <w:p w:rsidR="00100622" w:rsidRPr="00057CAF" w:rsidRDefault="00100622" w:rsidP="005F594E">
      <w:pPr>
        <w:pStyle w:val="bullets"/>
        <w:rPr>
          <w:lang w:val="fr-FR"/>
        </w:rPr>
      </w:pPr>
      <w:r w:rsidRPr="00057CAF">
        <w:rPr>
          <w:lang w:val="fr-FR"/>
        </w:rPr>
        <w:t xml:space="preserve">Sans piéger les agriculteurs ni donner l’impression qu’ils puissent être piégés </w:t>
      </w:r>
      <w:r w:rsidR="00BF4BD5" w:rsidRPr="00057CAF">
        <w:rPr>
          <w:lang w:val="fr-FR"/>
        </w:rPr>
        <w:t xml:space="preserve">à leur insu </w:t>
      </w:r>
      <w:r w:rsidRPr="00057CAF">
        <w:rPr>
          <w:lang w:val="fr-FR"/>
        </w:rPr>
        <w:t xml:space="preserve">dans un processus de contraintes croissantes, </w:t>
      </w:r>
      <w:r w:rsidR="00BF4BD5" w:rsidRPr="00057CAF">
        <w:rPr>
          <w:lang w:val="fr-FR"/>
        </w:rPr>
        <w:t>chercher à assurer un découplage entre la dépense (qui ne peut croître indéfiniment) et le bénéfice environnemental attendu (qui doit encore croître considérablement) : dans ce cadre envisager et annoncer comme telles des mesures incitatives transitoires qui ont pour but de préparer des changements vers une situation qui devrait se pérenniser à coût réduit, et servir de point de départ pour une étape d’amélioration suivante.</w:t>
      </w:r>
      <w:r w:rsidRPr="00057CAF">
        <w:rPr>
          <w:lang w:val="fr-FR"/>
        </w:rPr>
        <w:t xml:space="preserve"> </w:t>
      </w:r>
    </w:p>
    <w:p w:rsidR="00100622" w:rsidRPr="00057CAF" w:rsidRDefault="00BF4BD5" w:rsidP="00100622">
      <w:pPr>
        <w:rPr>
          <w:rFonts w:eastAsiaTheme="minorHAnsi" w:cstheme="minorBidi"/>
          <w:b/>
          <w:szCs w:val="22"/>
          <w:lang w:val="fr-FR"/>
        </w:rPr>
      </w:pPr>
      <w:r w:rsidRPr="00057CAF">
        <w:rPr>
          <w:rFonts w:eastAsiaTheme="minorHAnsi" w:cstheme="minorBidi"/>
          <w:b/>
          <w:szCs w:val="22"/>
          <w:lang w:val="fr-FR"/>
        </w:rPr>
        <w:t>Elargissement de la portée des mesures</w:t>
      </w:r>
      <w:r w:rsidR="001565F4" w:rsidRPr="00057CAF">
        <w:rPr>
          <w:rFonts w:eastAsiaTheme="minorHAnsi" w:cstheme="minorBidi"/>
          <w:b/>
          <w:szCs w:val="22"/>
          <w:lang w:val="fr-FR"/>
        </w:rPr>
        <w:t xml:space="preserve"> vers l’eau et le sol dans un contexte d’adaptation au changement climatique</w:t>
      </w:r>
    </w:p>
    <w:p w:rsidR="00BF4BD5" w:rsidRPr="00057CAF" w:rsidRDefault="00BF4BD5" w:rsidP="005F594E">
      <w:pPr>
        <w:pStyle w:val="bullets"/>
        <w:rPr>
          <w:lang w:val="fr-FR"/>
        </w:rPr>
      </w:pPr>
      <w:r w:rsidRPr="00057CAF">
        <w:rPr>
          <w:lang w:val="fr-FR"/>
        </w:rPr>
        <w:t>Prévoir davantage de financement pour les dispositifs de protection des sols</w:t>
      </w:r>
      <w:r w:rsidR="001565F4" w:rsidRPr="00057CAF">
        <w:rPr>
          <w:lang w:val="fr-FR"/>
        </w:rPr>
        <w:t xml:space="preserve"> et de régulation des inondations</w:t>
      </w:r>
      <w:r w:rsidRPr="00057CAF">
        <w:rPr>
          <w:lang w:val="fr-FR"/>
        </w:rPr>
        <w:t>, tels que ceux que recommande la cellule GISER.</w:t>
      </w:r>
    </w:p>
    <w:p w:rsidR="00240AF6" w:rsidRPr="00057CAF" w:rsidRDefault="00AC15D2" w:rsidP="005F594E">
      <w:pPr>
        <w:pStyle w:val="bullets"/>
        <w:rPr>
          <w:lang w:val="fr-FR"/>
        </w:rPr>
      </w:pPr>
      <w:r w:rsidRPr="00057CAF">
        <w:rPr>
          <w:rFonts w:cstheme="minorHAnsi"/>
          <w:lang w:val="fr-FR"/>
        </w:rPr>
        <w:t>Envisager de promouvoir des m</w:t>
      </w:r>
      <w:r w:rsidR="00240AF6" w:rsidRPr="00057CAF">
        <w:rPr>
          <w:rFonts w:cstheme="minorHAnsi"/>
          <w:lang w:val="fr-FR"/>
        </w:rPr>
        <w:t xml:space="preserve">odalités </w:t>
      </w:r>
      <w:r w:rsidRPr="00057CAF">
        <w:rPr>
          <w:rFonts w:cstheme="minorHAnsi"/>
          <w:lang w:val="fr-FR"/>
        </w:rPr>
        <w:t xml:space="preserve">améliorées </w:t>
      </w:r>
      <w:r w:rsidR="00240AF6" w:rsidRPr="00057CAF">
        <w:rPr>
          <w:lang w:val="fr-FR"/>
        </w:rPr>
        <w:t>de travail du sol : Les pratiques de travail allégé du sol ont jusqu’à présent été exclues des MAEC, cela notamment en raison du fait qu’elles ne représentent pas un manque à gagner. Cela n’empêche qu’elles sont rarement mises en œuvre spontanément. Si le principe d’un paiement au prorata du manque à gagner était abandonné au profit d’un paiement pour le bénéfice environnemental attendu, il serait possible de prévoir des incitations à ces pratiques, pour autant que des précautions soient prises pour éviter qu’elles ne s’accompagnent d’un rec</w:t>
      </w:r>
      <w:r w:rsidR="00BF3DC8" w:rsidRPr="00057CAF">
        <w:rPr>
          <w:lang w:val="fr-FR"/>
        </w:rPr>
        <w:t>ours accru aux phytocides</w:t>
      </w:r>
      <w:r w:rsidR="00BF4BD5" w:rsidRPr="00057CAF">
        <w:rPr>
          <w:lang w:val="fr-FR"/>
        </w:rPr>
        <w:t>.</w:t>
      </w:r>
    </w:p>
    <w:p w:rsidR="001565F4" w:rsidRPr="00057CAF" w:rsidRDefault="001565F4" w:rsidP="005F594E">
      <w:pPr>
        <w:pStyle w:val="bullets"/>
        <w:rPr>
          <w:rFonts w:cstheme="minorHAnsi"/>
          <w:lang w:val="fr-FR"/>
        </w:rPr>
      </w:pPr>
      <w:r w:rsidRPr="00057CAF">
        <w:rPr>
          <w:lang w:val="fr-FR"/>
        </w:rPr>
        <w:t>Envisager des indemnités de type M12 pour des dispositifs obligatoires de protection des bordures d’eau (bordures enherbées).</w:t>
      </w:r>
    </w:p>
    <w:p w:rsidR="001565F4" w:rsidRPr="00057CAF" w:rsidRDefault="00BD517E" w:rsidP="005F594E">
      <w:pPr>
        <w:pStyle w:val="bullets"/>
        <w:rPr>
          <w:lang w:val="fr-FR"/>
        </w:rPr>
      </w:pPr>
      <w:r w:rsidRPr="00057CAF">
        <w:rPr>
          <w:lang w:val="fr-FR"/>
        </w:rPr>
        <w:t>Envisager un développement contrôlé de l’irrigation et de ses impacts, compte tenu du risque de répétition des sécheresses et de l’attitude des agriculteurs envers celle-ci.</w:t>
      </w:r>
    </w:p>
    <w:p w:rsidR="00BF4BD5" w:rsidRPr="00057CAF" w:rsidRDefault="00BF4BD5" w:rsidP="00BF4BD5">
      <w:pPr>
        <w:spacing w:after="60"/>
        <w:rPr>
          <w:rFonts w:eastAsiaTheme="minorHAnsi" w:cstheme="minorBidi"/>
          <w:b/>
          <w:szCs w:val="22"/>
          <w:lang w:val="fr-FR"/>
        </w:rPr>
      </w:pPr>
      <w:r w:rsidRPr="00057CAF">
        <w:rPr>
          <w:rFonts w:eastAsiaTheme="minorHAnsi" w:cstheme="minorBidi"/>
          <w:b/>
          <w:szCs w:val="22"/>
          <w:lang w:val="fr-FR"/>
        </w:rPr>
        <w:t>Révision des indemnités M12 et M13</w:t>
      </w:r>
    </w:p>
    <w:p w:rsidR="0071175A" w:rsidRPr="00057CAF" w:rsidRDefault="00DC57D9" w:rsidP="005F594E">
      <w:pPr>
        <w:pStyle w:val="bullets"/>
        <w:rPr>
          <w:lang w:val="fr-FR"/>
        </w:rPr>
      </w:pPr>
      <w:r w:rsidRPr="00057CAF">
        <w:rPr>
          <w:lang w:val="fr-FR"/>
        </w:rPr>
        <w:t>Vérifier l</w:t>
      </w:r>
      <w:r w:rsidR="0071175A" w:rsidRPr="00057CAF">
        <w:rPr>
          <w:lang w:val="fr-FR"/>
        </w:rPr>
        <w:t>’opportunité des</w:t>
      </w:r>
      <w:r w:rsidRPr="00057CAF">
        <w:rPr>
          <w:lang w:val="fr-FR"/>
        </w:rPr>
        <w:t xml:space="preserve"> indemnités Natura 2000 </w:t>
      </w:r>
      <w:r w:rsidR="00B31E8B" w:rsidRPr="00057CAF">
        <w:rPr>
          <w:lang w:val="fr-FR"/>
        </w:rPr>
        <w:t xml:space="preserve">forestières </w:t>
      </w:r>
      <w:r w:rsidRPr="00057CAF">
        <w:rPr>
          <w:lang w:val="fr-FR"/>
        </w:rPr>
        <w:t>(M12.2)</w:t>
      </w:r>
      <w:r w:rsidR="0071175A" w:rsidRPr="00057CAF">
        <w:rPr>
          <w:lang w:val="fr-FR"/>
        </w:rPr>
        <w:t>, dans la mesure où elles ont peu de succès, où leur efficacité environnementale n’est pas prouvée, et où elles s’ajoutent à des avantages fiscaux</w:t>
      </w:r>
      <w:r w:rsidR="00B31E8B" w:rsidRPr="00057CAF">
        <w:rPr>
          <w:lang w:val="fr-FR"/>
        </w:rPr>
        <w:t>, pouvant se traduire par un paiement public de rente foncière</w:t>
      </w:r>
      <w:r w:rsidR="0071175A" w:rsidRPr="00057CAF">
        <w:rPr>
          <w:lang w:val="fr-FR"/>
        </w:rPr>
        <w:t xml:space="preserve">. </w:t>
      </w:r>
    </w:p>
    <w:p w:rsidR="00267C6A" w:rsidRPr="00057CAF" w:rsidRDefault="00267C6A" w:rsidP="005F594E">
      <w:pPr>
        <w:pStyle w:val="bullets"/>
        <w:rPr>
          <w:rFonts w:cstheme="minorHAnsi"/>
          <w:lang w:val="fr-FR"/>
        </w:rPr>
      </w:pPr>
      <w:r w:rsidRPr="00057CAF">
        <w:rPr>
          <w:rFonts w:cstheme="minorHAnsi"/>
          <w:lang w:val="fr-FR"/>
        </w:rPr>
        <w:t>Remplacer M13 par des mesures plus ouvertement environnementales ou a</w:t>
      </w:r>
      <w:r w:rsidR="00DC57D9" w:rsidRPr="00057CAF">
        <w:rPr>
          <w:rFonts w:cstheme="minorHAnsi"/>
          <w:lang w:val="fr-FR"/>
        </w:rPr>
        <w:t xml:space="preserve">ssocier les paiements </w:t>
      </w:r>
      <w:r w:rsidR="0071175A" w:rsidRPr="00057CAF">
        <w:rPr>
          <w:rFonts w:cstheme="minorHAnsi"/>
          <w:lang w:val="fr-FR"/>
        </w:rPr>
        <w:t xml:space="preserve">M13 </w:t>
      </w:r>
      <w:r w:rsidR="00DC57D9" w:rsidRPr="00057CAF">
        <w:rPr>
          <w:rFonts w:cstheme="minorHAnsi"/>
          <w:lang w:val="fr-FR"/>
        </w:rPr>
        <w:t xml:space="preserve">à des </w:t>
      </w:r>
      <w:r w:rsidR="0071175A" w:rsidRPr="00057CAF">
        <w:rPr>
          <w:rFonts w:cstheme="minorHAnsi"/>
          <w:lang w:val="fr-FR"/>
        </w:rPr>
        <w:t xml:space="preserve">caractéristiques souhaitables des exploitations (caractère extensif, petite taille, proportion occupée par les prairies plutôt que le maïs ou les sapins de Noël par exemple) </w:t>
      </w:r>
      <w:r w:rsidR="00DC57D9" w:rsidRPr="00057CAF">
        <w:rPr>
          <w:rFonts w:cstheme="minorHAnsi"/>
          <w:lang w:val="fr-FR"/>
        </w:rPr>
        <w:t xml:space="preserve">plutôt qu’aux </w:t>
      </w:r>
      <w:r w:rsidR="0071175A" w:rsidRPr="00057CAF">
        <w:rPr>
          <w:rFonts w:cstheme="minorHAnsi"/>
          <w:lang w:val="fr-FR"/>
        </w:rPr>
        <w:t>superficies</w:t>
      </w:r>
      <w:r w:rsidR="005C4E60" w:rsidRPr="00057CAF">
        <w:rPr>
          <w:rFonts w:cstheme="minorHAnsi"/>
          <w:lang w:val="fr-FR"/>
        </w:rPr>
        <w:t> : l</w:t>
      </w:r>
      <w:r w:rsidR="0071175A" w:rsidRPr="00057CAF">
        <w:rPr>
          <w:rFonts w:cstheme="minorHAnsi"/>
          <w:lang w:val="fr-FR"/>
        </w:rPr>
        <w:t>es changements opérés depuis le dernier PDR (accroissement de la superficie éligible, extension à l’ensemble des terres agricoles) ne sont pas justifiés du point de vue environnemental et réduisent la pertinence environnementale de ces paiements alors qu’elle était déjà faible</w:t>
      </w:r>
      <w:r w:rsidR="005C4E60" w:rsidRPr="00057CAF">
        <w:rPr>
          <w:rFonts w:cstheme="minorHAnsi"/>
          <w:lang w:val="fr-FR"/>
        </w:rPr>
        <w:t xml:space="preserve"> ; si </w:t>
      </w:r>
      <w:r w:rsidR="0071175A" w:rsidRPr="00057CAF">
        <w:rPr>
          <w:rFonts w:cstheme="minorHAnsi"/>
          <w:lang w:val="fr-FR"/>
        </w:rPr>
        <w:t>des considérations non environnementales justifient cette mesure et les changements, il parait préférable de cesser de la présenter comme une mesure environnementale.</w:t>
      </w:r>
      <w:r w:rsidR="001E5CF2" w:rsidRPr="00057CAF">
        <w:rPr>
          <w:rFonts w:cstheme="minorHAnsi"/>
          <w:lang w:val="fr-FR"/>
        </w:rPr>
        <w:t>.</w:t>
      </w:r>
      <w:r w:rsidRPr="00057CAF">
        <w:rPr>
          <w:rFonts w:cstheme="minorHAnsi"/>
          <w:lang w:val="fr-FR"/>
        </w:rPr>
        <w:t xml:space="preserve"> </w:t>
      </w:r>
    </w:p>
    <w:p w:rsidR="00C830FB" w:rsidRPr="00057CAF" w:rsidRDefault="00130B58" w:rsidP="00024FED">
      <w:pPr>
        <w:spacing w:after="60"/>
        <w:rPr>
          <w:rFonts w:eastAsiaTheme="minorHAnsi" w:cstheme="minorBidi"/>
          <w:b/>
          <w:szCs w:val="22"/>
          <w:lang w:val="fr-FR"/>
        </w:rPr>
      </w:pPr>
      <w:r w:rsidRPr="00057CAF">
        <w:rPr>
          <w:rFonts w:eastAsiaTheme="minorHAnsi" w:cstheme="minorBidi"/>
          <w:b/>
          <w:szCs w:val="22"/>
          <w:lang w:val="fr-FR"/>
        </w:rPr>
        <w:lastRenderedPageBreak/>
        <w:t>Un paiement compensatoire pour contrainte renforcée ?</w:t>
      </w:r>
    </w:p>
    <w:p w:rsidR="00C830FB" w:rsidRPr="00057CAF" w:rsidRDefault="00130B58" w:rsidP="005F594E">
      <w:pPr>
        <w:pStyle w:val="bullets"/>
        <w:rPr>
          <w:lang w:val="fr-FR"/>
        </w:rPr>
      </w:pPr>
      <w:r w:rsidRPr="00057CAF">
        <w:rPr>
          <w:lang w:val="fr-FR"/>
        </w:rPr>
        <w:t>Le principe de compenser des contraintes (suivi par M12 et M13) pourrait être étendu à des obligations, allant au-delà des normes de conditionnalités, qui seraient imposées dans des conditions déterminées ; cette idée pourrait être appliquée de manière transitoire pour accompagner la transition vers des conditionnalités renforcées (par exemple sur les modalités d’épandage, le travail du sol, la lutte antiérosive).</w:t>
      </w:r>
    </w:p>
    <w:p w:rsidR="0060724A" w:rsidRDefault="00AC15D2" w:rsidP="005F594E">
      <w:pPr>
        <w:pStyle w:val="Titre3"/>
        <w:rPr>
          <w:rFonts w:eastAsiaTheme="minorHAnsi"/>
        </w:rPr>
      </w:pPr>
      <w:bookmarkStart w:id="154" w:name="_Toc11278990"/>
      <w:bookmarkStart w:id="155" w:name="_Toc11333835"/>
      <w:bookmarkStart w:id="156" w:name="_Toc25688807"/>
      <w:r>
        <w:rPr>
          <w:rFonts w:eastAsiaTheme="minorHAnsi"/>
        </w:rPr>
        <w:t>Le suivi et l’évaluation</w:t>
      </w:r>
      <w:bookmarkEnd w:id="154"/>
      <w:bookmarkEnd w:id="155"/>
      <w:bookmarkEnd w:id="156"/>
    </w:p>
    <w:p w:rsidR="008F2CE5" w:rsidRPr="00057CAF" w:rsidRDefault="008F2CE5" w:rsidP="005F594E">
      <w:pPr>
        <w:pStyle w:val="bullets"/>
        <w:rPr>
          <w:rFonts w:cstheme="minorHAnsi"/>
          <w:lang w:val="fr-FR"/>
        </w:rPr>
      </w:pPr>
      <w:r w:rsidRPr="00057CAF">
        <w:rPr>
          <w:lang w:val="fr-FR"/>
        </w:rPr>
        <w:t>Prévoir une démarche d’évaluation plus large, non centrée sur le PDR, plutôt centrée sur des objectifs.</w:t>
      </w:r>
    </w:p>
    <w:p w:rsidR="003200CC" w:rsidRPr="00057CAF" w:rsidRDefault="003200CC" w:rsidP="005F594E">
      <w:pPr>
        <w:pStyle w:val="bullets"/>
        <w:rPr>
          <w:lang w:val="fr-FR"/>
        </w:rPr>
      </w:pPr>
      <w:r w:rsidRPr="00057CAF">
        <w:rPr>
          <w:lang w:val="fr-FR"/>
        </w:rPr>
        <w:t>Envisager de remplacer ou compléter l’évaluation du « PDR » (par rapport à la situation sans PDR), par une évaluation des changements par rapport au PDR antérieur ;</w:t>
      </w:r>
    </w:p>
    <w:p w:rsidR="003200CC" w:rsidRPr="00057CAF" w:rsidRDefault="003200CC" w:rsidP="005F594E">
      <w:pPr>
        <w:pStyle w:val="bullets"/>
        <w:rPr>
          <w:lang w:val="fr-FR"/>
        </w:rPr>
      </w:pPr>
      <w:r w:rsidRPr="00057CAF">
        <w:rPr>
          <w:lang w:val="fr-FR"/>
        </w:rPr>
        <w:t>Préférer les évaluations par objectifs, combinant plusieurs instruments, plutôt que les évaluations par instrument à objectifs multiples ;</w:t>
      </w:r>
    </w:p>
    <w:p w:rsidR="00462B4E" w:rsidRPr="00057CAF" w:rsidRDefault="00462B4E" w:rsidP="005F594E">
      <w:pPr>
        <w:pStyle w:val="bullets"/>
        <w:rPr>
          <w:lang w:val="fr-FR"/>
        </w:rPr>
      </w:pPr>
      <w:r w:rsidRPr="00057CAF">
        <w:rPr>
          <w:lang w:val="fr-FR"/>
        </w:rPr>
        <w:t>S’assurer de réduire les délais entre les signaux produits par les indicateurs et les réponses en termes d’ajustement du dispositif (améliorer le flux de données d’indicateurs, harmoniser les calendriers de fourniture de recommandations par l’évaluation et de prise de décision)</w:t>
      </w:r>
      <w:r w:rsidR="00B31E8B" w:rsidRPr="00057CAF">
        <w:rPr>
          <w:lang w:val="fr-FR"/>
        </w:rPr>
        <w:t> ;</w:t>
      </w:r>
    </w:p>
    <w:p w:rsidR="00BF3DC8" w:rsidRPr="00476F9D" w:rsidRDefault="00BF3DC8" w:rsidP="005F594E">
      <w:pPr>
        <w:pStyle w:val="Titre3"/>
        <w:rPr>
          <w:rFonts w:eastAsiaTheme="minorHAnsi"/>
        </w:rPr>
      </w:pPr>
      <w:bookmarkStart w:id="157" w:name="_Toc11278991"/>
      <w:bookmarkStart w:id="158" w:name="_Toc11333836"/>
      <w:bookmarkStart w:id="159" w:name="_Toc25688808"/>
      <w:bookmarkStart w:id="160" w:name="_Toc1055151"/>
      <w:r>
        <w:rPr>
          <w:rFonts w:eastAsiaTheme="minorHAnsi"/>
        </w:rPr>
        <w:t>La communication </w:t>
      </w:r>
      <w:r w:rsidR="008F2CE5">
        <w:rPr>
          <w:rFonts w:eastAsiaTheme="minorHAnsi"/>
        </w:rPr>
        <w:t>et l’information</w:t>
      </w:r>
      <w:bookmarkEnd w:id="157"/>
      <w:bookmarkEnd w:id="158"/>
      <w:bookmarkEnd w:id="159"/>
    </w:p>
    <w:p w:rsidR="008F2CE5" w:rsidRPr="00057CAF" w:rsidRDefault="008F2CE5" w:rsidP="005F594E">
      <w:pPr>
        <w:pStyle w:val="bullets"/>
        <w:rPr>
          <w:lang w:val="fr-FR"/>
        </w:rPr>
      </w:pPr>
      <w:r w:rsidRPr="00057CAF">
        <w:rPr>
          <w:lang w:val="fr-FR"/>
        </w:rPr>
        <w:t>Rendre transparente la logique des décisions, en argumentant notamment les décisions de changements opérés au sein des PDR ou d’un PDR à l’autre</w:t>
      </w:r>
    </w:p>
    <w:p w:rsidR="008F2CE5" w:rsidRPr="00057CAF" w:rsidRDefault="008F2CE5" w:rsidP="005F594E">
      <w:pPr>
        <w:pStyle w:val="bullets"/>
        <w:rPr>
          <w:lang w:val="fr-FR"/>
        </w:rPr>
      </w:pPr>
      <w:r w:rsidRPr="00057CAF">
        <w:rPr>
          <w:lang w:val="fr-FR"/>
        </w:rPr>
        <w:t xml:space="preserve">Dans le cadre d’une meilleure communication sur les objectifs, </w:t>
      </w:r>
      <w:r w:rsidR="00932A2C" w:rsidRPr="00057CAF">
        <w:rPr>
          <w:lang w:val="fr-FR"/>
        </w:rPr>
        <w:t xml:space="preserve">veiller à la </w:t>
      </w:r>
      <w:r w:rsidRPr="00057CAF">
        <w:rPr>
          <w:lang w:val="fr-FR"/>
        </w:rPr>
        <w:t xml:space="preserve">cohérence entre l’intitulé des MAEC et leur objectif (par exemple les titres de MB1, MB2, MC4 se réfèrent à des milieux et non à ce que la MAEC vise à changer à leur sujet, l’intitulé de MB 9 se réfère à l’autonomie fourragère alors que son rôle environnemental est plus associé à la réduction de charge). </w:t>
      </w:r>
    </w:p>
    <w:p w:rsidR="00721B13" w:rsidRPr="00057CAF" w:rsidRDefault="00721B13" w:rsidP="005F594E">
      <w:pPr>
        <w:pStyle w:val="bullets"/>
        <w:rPr>
          <w:lang w:val="fr-FR"/>
        </w:rPr>
      </w:pPr>
      <w:r w:rsidRPr="00057CAF">
        <w:rPr>
          <w:lang w:val="fr-FR"/>
        </w:rPr>
        <w:t xml:space="preserve">Veiller à une publicité suffisante des mesures (comme assuré par Natagriwal </w:t>
      </w:r>
      <w:r w:rsidR="00DC47D9" w:rsidRPr="00057CAF">
        <w:rPr>
          <w:lang w:val="fr-FR"/>
        </w:rPr>
        <w:t xml:space="preserve">pour les MAEC par exemple </w:t>
      </w:r>
      <w:r w:rsidRPr="00057CAF">
        <w:rPr>
          <w:lang w:val="fr-FR"/>
        </w:rPr>
        <w:t>et envisagé pour M7.6)</w:t>
      </w:r>
    </w:p>
    <w:p w:rsidR="00932A2C" w:rsidRPr="00057CAF" w:rsidRDefault="00932A2C" w:rsidP="005F594E">
      <w:pPr>
        <w:pStyle w:val="bullets"/>
        <w:rPr>
          <w:rFonts w:eastAsiaTheme="minorHAnsi"/>
          <w:lang w:val="fr-FR"/>
        </w:rPr>
      </w:pPr>
      <w:r w:rsidRPr="00057CAF">
        <w:rPr>
          <w:rFonts w:eastAsiaTheme="minorHAnsi"/>
          <w:lang w:val="fr-FR"/>
        </w:rPr>
        <w:t>Améliorer la circulation des données relatives aux indicateurs, en favorisant une connexion plus directe entre les producteurs et utilisateurs de données, de manière à éviter les retards et les pertes d’information (telles que celles liées aux agrégations au niveau national) ;</w:t>
      </w:r>
    </w:p>
    <w:p w:rsidR="00932A2C" w:rsidRPr="00057CAF" w:rsidRDefault="00932A2C" w:rsidP="005F594E">
      <w:pPr>
        <w:pStyle w:val="bullets"/>
        <w:rPr>
          <w:rFonts w:eastAsiaTheme="minorHAnsi"/>
          <w:lang w:val="fr-FR"/>
        </w:rPr>
      </w:pPr>
      <w:r w:rsidRPr="00057CAF">
        <w:rPr>
          <w:rFonts w:eastAsiaTheme="minorHAnsi"/>
          <w:lang w:val="fr-FR"/>
        </w:rPr>
        <w:t>Offrir une plus grande garantie d’indépendance des indicateurs et rapports environnementaux envers le pouvoir politique, en vue de renforcer leur crédibilité</w:t>
      </w:r>
      <w:r w:rsidR="001565F4" w:rsidRPr="00057CAF">
        <w:rPr>
          <w:rFonts w:eastAsiaTheme="minorHAnsi"/>
          <w:lang w:val="fr-FR"/>
        </w:rPr>
        <w:t>.</w:t>
      </w:r>
    </w:p>
    <w:p w:rsidR="00BF3DC8" w:rsidRPr="00057CAF" w:rsidRDefault="00BF3DC8">
      <w:pPr>
        <w:spacing w:after="160" w:line="259" w:lineRule="auto"/>
        <w:jc w:val="left"/>
        <w:rPr>
          <w:lang w:val="fr-FR"/>
        </w:rPr>
      </w:pPr>
    </w:p>
    <w:p w:rsidR="004B15DF" w:rsidRPr="00057CAF" w:rsidRDefault="004B15DF">
      <w:pPr>
        <w:spacing w:after="160" w:line="259" w:lineRule="auto"/>
        <w:jc w:val="left"/>
        <w:rPr>
          <w:rFonts w:asciiTheme="majorHAnsi" w:eastAsiaTheme="majorEastAsia" w:hAnsiTheme="majorHAnsi" w:cstheme="majorBidi"/>
          <w:color w:val="2E74B5" w:themeColor="accent1" w:themeShade="BF"/>
          <w:sz w:val="32"/>
          <w:szCs w:val="32"/>
          <w:lang w:val="fr-FR"/>
        </w:rPr>
      </w:pPr>
      <w:r w:rsidRPr="00057CAF">
        <w:rPr>
          <w:lang w:val="fr-FR"/>
        </w:rPr>
        <w:br w:type="page"/>
      </w:r>
    </w:p>
    <w:p w:rsidR="005F594E" w:rsidRDefault="005F594E" w:rsidP="009716CF">
      <w:pPr>
        <w:pStyle w:val="Titre1"/>
        <w:sectPr w:rsidR="005F594E" w:rsidSect="0050022D">
          <w:type w:val="oddPage"/>
          <w:pgSz w:w="11906" w:h="16838"/>
          <w:pgMar w:top="1417" w:right="1417" w:bottom="1417" w:left="1417" w:header="708" w:footer="708" w:gutter="0"/>
          <w:cols w:space="708"/>
          <w:docGrid w:linePitch="360"/>
        </w:sectPr>
      </w:pPr>
      <w:bookmarkStart w:id="161" w:name="_Toc11278992"/>
    </w:p>
    <w:p w:rsidR="009716CF" w:rsidRPr="00146DB7" w:rsidRDefault="009716CF" w:rsidP="009716CF">
      <w:pPr>
        <w:pStyle w:val="Titre1"/>
      </w:pPr>
      <w:bookmarkStart w:id="162" w:name="_Toc25688809"/>
      <w:r w:rsidRPr="00146DB7">
        <w:lastRenderedPageBreak/>
        <w:t>Références</w:t>
      </w:r>
      <w:bookmarkEnd w:id="160"/>
      <w:bookmarkEnd w:id="161"/>
      <w:bookmarkEnd w:id="162"/>
      <w:r w:rsidRPr="00146DB7">
        <w:t xml:space="preserve"> </w:t>
      </w:r>
    </w:p>
    <w:p w:rsidR="009716CF" w:rsidRPr="00E9242B" w:rsidRDefault="009716CF" w:rsidP="009716CF">
      <w:pPr>
        <w:spacing w:after="160"/>
        <w:rPr>
          <w:rFonts w:eastAsiaTheme="minorHAnsi" w:cstheme="minorHAnsi"/>
          <w:szCs w:val="22"/>
          <w:lang w:val="fr-BE"/>
        </w:rPr>
      </w:pPr>
      <w:r w:rsidRPr="00057CAF">
        <w:rPr>
          <w:rFonts w:eastAsiaTheme="minorHAnsi" w:cstheme="minorHAnsi"/>
          <w:smallCaps/>
          <w:szCs w:val="22"/>
          <w:lang w:val="fr-FR"/>
        </w:rPr>
        <w:t>Béline</w:t>
      </w:r>
      <w:r w:rsidRPr="00057CAF">
        <w:rPr>
          <w:rFonts w:eastAsiaTheme="minorHAnsi" w:cstheme="minorHAnsi"/>
          <w:szCs w:val="22"/>
          <w:lang w:val="fr-FR"/>
        </w:rPr>
        <w:t xml:space="preserve"> </w:t>
      </w:r>
      <w:r w:rsidRPr="00057CAF">
        <w:rPr>
          <w:rFonts w:eastAsiaTheme="minorHAnsi" w:cstheme="minorHAnsi"/>
          <w:i/>
          <w:szCs w:val="22"/>
          <w:lang w:val="fr-FR"/>
        </w:rPr>
        <w:t>et al.</w:t>
      </w:r>
      <w:r w:rsidRPr="00057CAF">
        <w:rPr>
          <w:rFonts w:eastAsiaTheme="minorHAnsi" w:cstheme="minorHAnsi"/>
          <w:szCs w:val="22"/>
          <w:lang w:val="fr-FR"/>
        </w:rPr>
        <w:t xml:space="preserve"> 2006. Transformation, devenir et valorisation de l’azote : des effluents d’élevage aux systèmes de cultures. </w:t>
      </w:r>
      <w:r w:rsidRPr="00E9242B">
        <w:rPr>
          <w:rFonts w:eastAsiaTheme="minorHAnsi" w:cstheme="minorHAnsi"/>
          <w:szCs w:val="22"/>
          <w:lang w:val="fr-BE"/>
        </w:rPr>
        <w:t>INRA, Paris.</w:t>
      </w:r>
    </w:p>
    <w:p w:rsidR="009716CF" w:rsidRPr="00057CAF" w:rsidRDefault="009716CF" w:rsidP="009716CF">
      <w:pPr>
        <w:spacing w:after="160"/>
        <w:rPr>
          <w:rFonts w:eastAsiaTheme="minorHAnsi" w:cstheme="minorHAnsi"/>
          <w:szCs w:val="22"/>
          <w:lang w:val="fr-FR"/>
        </w:rPr>
      </w:pPr>
      <w:r w:rsidRPr="00E9242B">
        <w:rPr>
          <w:rFonts w:eastAsiaTheme="minorHAnsi" w:cstheme="minorHAnsi"/>
          <w:szCs w:val="22"/>
          <w:lang w:val="fr-BE"/>
        </w:rPr>
        <w:t xml:space="preserve">Bio by </w:t>
      </w:r>
      <w:proofErr w:type="spellStart"/>
      <w:r w:rsidRPr="00E9242B">
        <w:rPr>
          <w:rFonts w:eastAsiaTheme="minorHAnsi" w:cstheme="minorHAnsi"/>
          <w:szCs w:val="22"/>
          <w:lang w:val="fr-BE"/>
        </w:rPr>
        <w:t>Deloite</w:t>
      </w:r>
      <w:proofErr w:type="spellEnd"/>
      <w:r w:rsidRPr="00E9242B">
        <w:rPr>
          <w:rFonts w:eastAsiaTheme="minorHAnsi" w:cstheme="minorHAnsi"/>
          <w:szCs w:val="22"/>
          <w:lang w:val="fr-BE"/>
        </w:rPr>
        <w:t xml:space="preserve">. 2014. Evaluation environnementale stratégique. </w:t>
      </w:r>
      <w:r w:rsidRPr="00057CAF">
        <w:rPr>
          <w:rFonts w:eastAsiaTheme="minorHAnsi" w:cstheme="minorHAnsi"/>
          <w:szCs w:val="22"/>
          <w:lang w:val="fr-FR"/>
        </w:rPr>
        <w:t>Programme wallon de développement rural 2017-2020. Rapport au SPW – Service Public de la Wallonie, Département des Politiques européennes et des Accords internationaux, Direction des Programmes européens.</w:t>
      </w:r>
    </w:p>
    <w:p w:rsidR="009716CF" w:rsidRPr="00057CAF" w:rsidRDefault="009716CF" w:rsidP="009716CF">
      <w:pPr>
        <w:spacing w:after="160"/>
        <w:rPr>
          <w:rFonts w:eastAsiaTheme="minorHAnsi" w:cstheme="minorHAnsi"/>
          <w:szCs w:val="22"/>
          <w:lang w:val="fr-FR"/>
        </w:rPr>
      </w:pPr>
      <w:proofErr w:type="spellStart"/>
      <w:r w:rsidRPr="00057CAF">
        <w:rPr>
          <w:rFonts w:eastAsiaTheme="minorHAnsi" w:cstheme="minorBidi"/>
          <w:szCs w:val="22"/>
          <w:lang w:val="fr-FR"/>
        </w:rPr>
        <w:t>B</w:t>
      </w:r>
      <w:r w:rsidRPr="00057CAF">
        <w:rPr>
          <w:rFonts w:eastAsiaTheme="minorHAnsi" w:cstheme="minorBidi"/>
          <w:smallCaps/>
          <w:szCs w:val="22"/>
          <w:lang w:val="fr-FR"/>
        </w:rPr>
        <w:t>odiguel</w:t>
      </w:r>
      <w:proofErr w:type="spellEnd"/>
      <w:r w:rsidRPr="00057CAF">
        <w:rPr>
          <w:rFonts w:eastAsiaTheme="minorHAnsi" w:cstheme="minorBidi"/>
          <w:szCs w:val="22"/>
          <w:lang w:val="fr-FR"/>
        </w:rPr>
        <w:t>, L. 2014. Lutter contre le changement climatique : le nouveau leitmotiv de la politique agricole commune. Revue de l’Union Européenne, Dalloz, 2014, pp.414-426.</w:t>
      </w:r>
    </w:p>
    <w:p w:rsidR="009716CF" w:rsidRPr="00057CAF" w:rsidRDefault="004D17D9" w:rsidP="009716CF">
      <w:pPr>
        <w:spacing w:after="160"/>
        <w:rPr>
          <w:rFonts w:eastAsiaTheme="minorHAnsi" w:cstheme="minorHAnsi"/>
          <w:szCs w:val="22"/>
          <w:lang w:val="fr-FR"/>
        </w:rPr>
      </w:pPr>
      <w:proofErr w:type="spellStart"/>
      <w:r w:rsidRPr="00057CAF">
        <w:rPr>
          <w:rFonts w:eastAsiaTheme="minorHAnsi" w:cstheme="minorHAnsi"/>
          <w:smallCaps/>
          <w:szCs w:val="22"/>
          <w:lang w:val="fr-FR"/>
        </w:rPr>
        <w:t>Calsamiglia</w:t>
      </w:r>
      <w:proofErr w:type="spellEnd"/>
      <w:r w:rsidRPr="00057CAF">
        <w:rPr>
          <w:rFonts w:eastAsiaTheme="minorHAnsi" w:cstheme="minorHAnsi"/>
          <w:smallCaps/>
          <w:szCs w:val="22"/>
          <w:lang w:val="fr-FR"/>
        </w:rPr>
        <w:t xml:space="preserve"> S</w:t>
      </w:r>
      <w:r w:rsidRPr="00057CAF">
        <w:rPr>
          <w:rFonts w:eastAsiaTheme="minorHAnsi" w:cstheme="minorHAnsi"/>
          <w:szCs w:val="22"/>
          <w:lang w:val="fr-FR"/>
        </w:rPr>
        <w:t xml:space="preserve">. </w:t>
      </w:r>
      <w:r w:rsidRPr="00057CAF">
        <w:rPr>
          <w:rFonts w:eastAsiaTheme="minorHAnsi" w:cstheme="minorHAnsi"/>
          <w:i/>
          <w:szCs w:val="22"/>
          <w:lang w:val="fr-FR"/>
        </w:rPr>
        <w:t>et al.</w:t>
      </w:r>
      <w:r w:rsidRPr="00057CAF">
        <w:rPr>
          <w:rFonts w:eastAsiaTheme="minorHAnsi" w:cstheme="minorHAnsi"/>
          <w:szCs w:val="22"/>
          <w:lang w:val="fr-FR"/>
        </w:rPr>
        <w:t xml:space="preserve">, 2010. </w:t>
      </w:r>
      <w:r w:rsidR="009716CF" w:rsidRPr="00754C68">
        <w:rPr>
          <w:rFonts w:eastAsiaTheme="minorHAnsi" w:cstheme="minorHAnsi"/>
          <w:szCs w:val="22"/>
          <w:lang w:val="en-US"/>
        </w:rPr>
        <w:t xml:space="preserve">Strategies for optimizing nitrogen by ruminants. </w:t>
      </w:r>
      <w:r w:rsidR="009716CF" w:rsidRPr="00057CAF">
        <w:rPr>
          <w:rFonts w:eastAsiaTheme="minorHAnsi" w:cstheme="minorHAnsi"/>
          <w:szCs w:val="22"/>
          <w:lang w:val="fr-FR"/>
        </w:rPr>
        <w:t>Animal, 4, 1181-1196.</w:t>
      </w:r>
    </w:p>
    <w:p w:rsidR="009716CF" w:rsidRPr="00057CAF" w:rsidRDefault="009716CF" w:rsidP="009716CF">
      <w:pPr>
        <w:spacing w:after="160"/>
        <w:rPr>
          <w:rFonts w:eastAsiaTheme="minorHAnsi" w:cstheme="minorHAnsi"/>
          <w:szCs w:val="22"/>
          <w:lang w:val="fr-FR"/>
        </w:rPr>
      </w:pPr>
      <w:proofErr w:type="spellStart"/>
      <w:r w:rsidRPr="00057CAF">
        <w:rPr>
          <w:rFonts w:eastAsiaTheme="minorHAnsi" w:cstheme="minorHAnsi"/>
          <w:smallCaps/>
          <w:szCs w:val="22"/>
          <w:lang w:val="fr-FR"/>
        </w:rPr>
        <w:t>Chartin</w:t>
      </w:r>
      <w:proofErr w:type="spellEnd"/>
      <w:r w:rsidRPr="00057CAF">
        <w:rPr>
          <w:rFonts w:eastAsiaTheme="minorHAnsi" w:cstheme="minorHAnsi"/>
          <w:szCs w:val="22"/>
          <w:lang w:val="fr-FR"/>
        </w:rPr>
        <w:t>, A. 2015. Evaluation ex post de la mesure 214 (mesures agroenvironnementales) du programme wallon de développement rural dans l’amélioration de la situation environnementale. Mémoire, ENSSA Bordeaux Aquitaine, Gradignan.</w:t>
      </w:r>
    </w:p>
    <w:p w:rsidR="009716CF" w:rsidRPr="00057CAF" w:rsidRDefault="009716CF" w:rsidP="009716CF">
      <w:pPr>
        <w:spacing w:after="160"/>
        <w:jc w:val="left"/>
        <w:rPr>
          <w:rFonts w:eastAsiaTheme="minorHAnsi" w:cstheme="minorHAnsi"/>
          <w:szCs w:val="22"/>
          <w:lang w:val="fr-FR"/>
        </w:rPr>
      </w:pPr>
      <w:proofErr w:type="spellStart"/>
      <w:proofErr w:type="gramStart"/>
      <w:r w:rsidRPr="00057CAF">
        <w:rPr>
          <w:rFonts w:eastAsiaTheme="minorHAnsi" w:cstheme="minorHAnsi"/>
          <w:smallCaps/>
          <w:szCs w:val="22"/>
          <w:lang w:val="fr-FR"/>
        </w:rPr>
        <w:t>Cellier,P</w:t>
      </w:r>
      <w:proofErr w:type="spellEnd"/>
      <w:r w:rsidRPr="00057CAF">
        <w:rPr>
          <w:rFonts w:eastAsiaTheme="minorHAnsi" w:cstheme="minorHAnsi"/>
          <w:smallCaps/>
          <w:szCs w:val="22"/>
          <w:lang w:val="fr-FR"/>
        </w:rPr>
        <w:t>.</w:t>
      </w:r>
      <w:proofErr w:type="gramEnd"/>
      <w:r w:rsidRPr="00057CAF">
        <w:rPr>
          <w:rFonts w:eastAsiaTheme="minorHAnsi" w:cstheme="minorHAnsi"/>
          <w:smallCaps/>
          <w:szCs w:val="22"/>
          <w:lang w:val="fr-FR"/>
        </w:rPr>
        <w:t xml:space="preserve"> &amp; B. Gabrielle.</w:t>
      </w:r>
      <w:r w:rsidRPr="00057CAF">
        <w:rPr>
          <w:rFonts w:eastAsiaTheme="minorHAnsi" w:cstheme="minorHAnsi"/>
          <w:szCs w:val="22"/>
          <w:lang w:val="fr-FR"/>
        </w:rPr>
        <w:t xml:space="preserve"> Agriculture et effet de serre. INRA et INA P-G. </w:t>
      </w:r>
      <w:hyperlink r:id="rId34" w:history="1">
        <w:r w:rsidR="00A56368" w:rsidRPr="00057CAF">
          <w:rPr>
            <w:rStyle w:val="Lienhypertexte"/>
            <w:rFonts w:eastAsiaTheme="minorHAnsi" w:cstheme="minorHAnsi"/>
            <w:szCs w:val="22"/>
            <w:shd w:val="clear" w:color="auto" w:fill="FFFFFF"/>
            <w:lang w:val="fr-FR"/>
          </w:rPr>
          <w:t>https://www6.versailles-grignon.inra.fr/ecosys/.../Agriculture_CO2_05_PC_BG_2.pdf</w:t>
        </w:r>
      </w:hyperlink>
      <w:r w:rsidRPr="00057CAF">
        <w:rPr>
          <w:rFonts w:eastAsiaTheme="minorHAnsi" w:cstheme="minorHAnsi"/>
          <w:color w:val="006621"/>
          <w:szCs w:val="22"/>
          <w:shd w:val="clear" w:color="auto" w:fill="FFFFFF"/>
          <w:lang w:val="fr-FR"/>
        </w:rPr>
        <w:t xml:space="preserve">, </w:t>
      </w:r>
      <w:r w:rsidRPr="00057CAF">
        <w:rPr>
          <w:rFonts w:eastAsiaTheme="minorHAnsi" w:cstheme="minorHAnsi"/>
          <w:szCs w:val="22"/>
          <w:lang w:val="fr-FR"/>
        </w:rPr>
        <w:t>consulté le 13/08/2018.</w:t>
      </w:r>
    </w:p>
    <w:p w:rsidR="009716CF" w:rsidRPr="00057CAF" w:rsidRDefault="009716CF" w:rsidP="009716CF">
      <w:pPr>
        <w:spacing w:after="160"/>
        <w:jc w:val="left"/>
        <w:rPr>
          <w:rFonts w:eastAsiaTheme="minorHAnsi" w:cstheme="minorHAnsi"/>
          <w:szCs w:val="22"/>
          <w:lang w:val="fr-FR"/>
        </w:rPr>
      </w:pPr>
      <w:r w:rsidRPr="00057CAF">
        <w:rPr>
          <w:rFonts w:eastAsiaTheme="minorHAnsi" w:cstheme="minorBidi"/>
          <w:szCs w:val="22"/>
          <w:lang w:val="fr-FR"/>
        </w:rPr>
        <w:t>Comité régional Phyto. 2009 (?). Guide de bonnes pratiques phytosanitaires en culture de pommes de terre. Comité régional Phyto et du Service public de Wallonie Direction générale de l’Agriculture, des Ressources naturelles et de l’environnement.</w:t>
      </w:r>
    </w:p>
    <w:p w:rsidR="009716CF" w:rsidRPr="00057CAF" w:rsidRDefault="009716CF" w:rsidP="009716CF">
      <w:pPr>
        <w:spacing w:after="160" w:line="259" w:lineRule="auto"/>
        <w:rPr>
          <w:rFonts w:eastAsiaTheme="minorHAnsi" w:cstheme="minorBidi"/>
          <w:szCs w:val="22"/>
          <w:lang w:val="fr-FR"/>
        </w:rPr>
      </w:pPr>
      <w:proofErr w:type="spellStart"/>
      <w:r w:rsidRPr="00146DB7">
        <w:rPr>
          <w:rFonts w:eastAsiaTheme="minorHAnsi" w:cstheme="minorBidi"/>
          <w:smallCaps/>
          <w:szCs w:val="22"/>
          <w:lang w:val="en-US"/>
        </w:rPr>
        <w:t>Delcour</w:t>
      </w:r>
      <w:proofErr w:type="spellEnd"/>
      <w:r w:rsidRPr="00146DB7">
        <w:rPr>
          <w:rFonts w:eastAsiaTheme="minorHAnsi" w:cstheme="minorBidi"/>
          <w:smallCaps/>
          <w:szCs w:val="22"/>
          <w:lang w:val="en-US"/>
        </w:rPr>
        <w:t>, A., F. Van </w:t>
      </w:r>
      <w:proofErr w:type="spellStart"/>
      <w:r w:rsidRPr="00146DB7">
        <w:rPr>
          <w:rFonts w:eastAsiaTheme="minorHAnsi" w:cstheme="minorBidi"/>
          <w:smallCaps/>
          <w:szCs w:val="22"/>
          <w:lang w:val="en-US"/>
        </w:rPr>
        <w:t>Stappen</w:t>
      </w:r>
      <w:proofErr w:type="spellEnd"/>
      <w:r w:rsidRPr="00146DB7">
        <w:rPr>
          <w:rFonts w:eastAsiaTheme="minorHAnsi" w:cstheme="minorBidi"/>
          <w:smallCaps/>
          <w:szCs w:val="22"/>
          <w:lang w:val="en-US"/>
        </w:rPr>
        <w:t>, S. </w:t>
      </w:r>
      <w:proofErr w:type="spellStart"/>
      <w:r w:rsidRPr="00146DB7">
        <w:rPr>
          <w:rFonts w:eastAsiaTheme="minorHAnsi" w:cstheme="minorBidi"/>
          <w:smallCaps/>
          <w:szCs w:val="22"/>
          <w:lang w:val="en-US"/>
        </w:rPr>
        <w:t>Gheysens</w:t>
      </w:r>
      <w:proofErr w:type="spellEnd"/>
      <w:r w:rsidRPr="00146DB7">
        <w:rPr>
          <w:rFonts w:eastAsiaTheme="minorHAnsi" w:cstheme="minorBidi"/>
          <w:smallCaps/>
          <w:szCs w:val="22"/>
          <w:lang w:val="en-US"/>
        </w:rPr>
        <w:t xml:space="preserve">, V. </w:t>
      </w:r>
      <w:proofErr w:type="spellStart"/>
      <w:r w:rsidRPr="00146DB7">
        <w:rPr>
          <w:rFonts w:eastAsiaTheme="minorHAnsi" w:cstheme="minorBidi"/>
          <w:smallCaps/>
          <w:szCs w:val="22"/>
          <w:lang w:val="en-US"/>
        </w:rPr>
        <w:t>Decruyenaere</w:t>
      </w:r>
      <w:proofErr w:type="spellEnd"/>
      <w:r w:rsidRPr="00146DB7">
        <w:rPr>
          <w:rFonts w:eastAsiaTheme="minorHAnsi" w:cstheme="minorBidi"/>
          <w:smallCaps/>
          <w:szCs w:val="22"/>
          <w:lang w:val="en-US"/>
        </w:rPr>
        <w:t xml:space="preserve">, D. </w:t>
      </w:r>
      <w:proofErr w:type="spellStart"/>
      <w:r w:rsidRPr="00146DB7">
        <w:rPr>
          <w:rFonts w:eastAsiaTheme="minorHAnsi" w:cstheme="minorBidi"/>
          <w:smallCaps/>
          <w:szCs w:val="22"/>
          <w:lang w:val="en-US"/>
        </w:rPr>
        <w:t>Stilmant</w:t>
      </w:r>
      <w:proofErr w:type="spellEnd"/>
      <w:r w:rsidRPr="00146DB7">
        <w:rPr>
          <w:rFonts w:eastAsiaTheme="minorHAnsi" w:cstheme="minorBidi"/>
          <w:smallCaps/>
          <w:szCs w:val="22"/>
          <w:lang w:val="en-US"/>
        </w:rPr>
        <w:t xml:space="preserve">, Ph. </w:t>
      </w:r>
      <w:proofErr w:type="spellStart"/>
      <w:r w:rsidRPr="00057CAF">
        <w:rPr>
          <w:rFonts w:eastAsiaTheme="minorHAnsi" w:cstheme="minorBidi"/>
          <w:smallCaps/>
          <w:szCs w:val="22"/>
          <w:lang w:val="fr-FR"/>
        </w:rPr>
        <w:t>Burny</w:t>
      </w:r>
      <w:proofErr w:type="spellEnd"/>
      <w:r w:rsidRPr="00057CAF">
        <w:rPr>
          <w:rFonts w:eastAsiaTheme="minorHAnsi" w:cstheme="minorBidi"/>
          <w:smallCaps/>
          <w:szCs w:val="22"/>
          <w:lang w:val="fr-FR"/>
        </w:rPr>
        <w:t>, F. Rabier, H. </w:t>
      </w:r>
      <w:proofErr w:type="spellStart"/>
      <w:r w:rsidRPr="00057CAF">
        <w:rPr>
          <w:rFonts w:eastAsiaTheme="minorHAnsi" w:cstheme="minorBidi"/>
          <w:smallCaps/>
          <w:szCs w:val="22"/>
          <w:lang w:val="fr-FR"/>
        </w:rPr>
        <w:t>Louppe</w:t>
      </w:r>
      <w:proofErr w:type="spellEnd"/>
      <w:r w:rsidRPr="00057CAF">
        <w:rPr>
          <w:rFonts w:eastAsiaTheme="minorHAnsi" w:cstheme="minorBidi"/>
          <w:smallCaps/>
          <w:szCs w:val="22"/>
          <w:lang w:val="fr-FR"/>
        </w:rPr>
        <w:t> &amp; J.-P. </w:t>
      </w:r>
      <w:proofErr w:type="spellStart"/>
      <w:r w:rsidRPr="00057CAF">
        <w:rPr>
          <w:rFonts w:eastAsiaTheme="minorHAnsi" w:cstheme="minorBidi"/>
          <w:smallCaps/>
          <w:szCs w:val="22"/>
          <w:lang w:val="fr-FR"/>
        </w:rPr>
        <w:t>Goffart</w:t>
      </w:r>
      <w:proofErr w:type="spellEnd"/>
      <w:r w:rsidRPr="00057CAF">
        <w:rPr>
          <w:rFonts w:eastAsiaTheme="minorHAnsi" w:cstheme="minorBidi"/>
          <w:szCs w:val="22"/>
          <w:lang w:val="fr-FR"/>
        </w:rPr>
        <w:t xml:space="preserve">. 2014. État des lieux des flux céréaliers en Wallonie selon différentes filières d’utilisation. </w:t>
      </w:r>
      <w:proofErr w:type="spellStart"/>
      <w:r w:rsidRPr="00057CAF">
        <w:rPr>
          <w:rFonts w:eastAsiaTheme="minorHAnsi" w:cstheme="minorBidi"/>
          <w:szCs w:val="22"/>
          <w:lang w:val="fr-FR"/>
        </w:rPr>
        <w:t>Biotechnol</w:t>
      </w:r>
      <w:proofErr w:type="spellEnd"/>
      <w:r w:rsidRPr="00057CAF">
        <w:rPr>
          <w:rFonts w:eastAsiaTheme="minorHAnsi" w:cstheme="minorBidi"/>
          <w:szCs w:val="22"/>
          <w:lang w:val="fr-FR"/>
        </w:rPr>
        <w:t xml:space="preserve">. </w:t>
      </w:r>
      <w:proofErr w:type="spellStart"/>
      <w:r w:rsidRPr="00057CAF">
        <w:rPr>
          <w:rFonts w:eastAsiaTheme="minorHAnsi" w:cstheme="minorBidi"/>
          <w:szCs w:val="22"/>
          <w:lang w:val="fr-FR"/>
        </w:rPr>
        <w:t>Agron</w:t>
      </w:r>
      <w:proofErr w:type="spellEnd"/>
      <w:r w:rsidRPr="00057CAF">
        <w:rPr>
          <w:rFonts w:eastAsiaTheme="minorHAnsi" w:cstheme="minorBidi"/>
          <w:szCs w:val="22"/>
          <w:lang w:val="fr-FR"/>
        </w:rPr>
        <w:t>. Soc. Environ. 2014 18(2), 181-192</w:t>
      </w:r>
    </w:p>
    <w:p w:rsidR="009716CF" w:rsidRPr="00057CAF" w:rsidRDefault="009716CF" w:rsidP="009716CF">
      <w:pPr>
        <w:spacing w:after="160" w:line="259" w:lineRule="auto"/>
        <w:rPr>
          <w:rFonts w:eastAsiaTheme="minorHAnsi" w:cstheme="minorBidi"/>
          <w:szCs w:val="22"/>
          <w:lang w:val="fr-FR"/>
        </w:rPr>
      </w:pPr>
      <w:proofErr w:type="spellStart"/>
      <w:r w:rsidRPr="00057CAF">
        <w:rPr>
          <w:rFonts w:eastAsiaTheme="minorHAnsi" w:cstheme="minorBidi"/>
          <w:smallCaps/>
          <w:szCs w:val="22"/>
          <w:lang w:val="fr-FR"/>
        </w:rPr>
        <w:t>Dehem</w:t>
      </w:r>
      <w:proofErr w:type="spellEnd"/>
      <w:r w:rsidRPr="00057CAF">
        <w:rPr>
          <w:rFonts w:eastAsiaTheme="minorHAnsi" w:cstheme="minorBidi"/>
          <w:smallCaps/>
          <w:szCs w:val="22"/>
          <w:lang w:val="fr-FR"/>
        </w:rPr>
        <w:t>, Ch</w:t>
      </w:r>
      <w:r w:rsidRPr="00057CAF">
        <w:rPr>
          <w:rFonts w:eastAsiaTheme="minorHAnsi" w:cstheme="minorBidi"/>
          <w:szCs w:val="22"/>
          <w:lang w:val="fr-FR"/>
        </w:rPr>
        <w:t>. 2017. La pie-grièche grise en Wallonie, statut en 2016, dynamique de population et mesures de conservation.</w:t>
      </w:r>
    </w:p>
    <w:p w:rsidR="009716CF" w:rsidRPr="00057CAF" w:rsidRDefault="009716CF" w:rsidP="009716CF">
      <w:pPr>
        <w:spacing w:after="160"/>
        <w:jc w:val="left"/>
        <w:rPr>
          <w:rFonts w:eastAsiaTheme="minorHAnsi" w:cstheme="minorHAnsi"/>
          <w:szCs w:val="22"/>
          <w:lang w:val="fr-FR"/>
        </w:rPr>
      </w:pPr>
      <w:r w:rsidRPr="00057CAF">
        <w:rPr>
          <w:rFonts w:eastAsiaTheme="minorHAnsi" w:cstheme="minorHAnsi"/>
          <w:smallCaps/>
          <w:szCs w:val="22"/>
          <w:lang w:val="fr-FR"/>
        </w:rPr>
        <w:t xml:space="preserve">Desbois, D. </w:t>
      </w:r>
      <w:proofErr w:type="spellStart"/>
      <w:r w:rsidRPr="00057CAF">
        <w:rPr>
          <w:rFonts w:eastAsiaTheme="minorHAnsi" w:cstheme="minorHAnsi"/>
          <w:smallCaps/>
          <w:szCs w:val="22"/>
          <w:lang w:val="fr-FR"/>
        </w:rPr>
        <w:t>Butault</w:t>
      </w:r>
      <w:proofErr w:type="spellEnd"/>
      <w:r w:rsidRPr="00057CAF">
        <w:rPr>
          <w:rFonts w:eastAsiaTheme="minorHAnsi" w:cstheme="minorHAnsi"/>
          <w:smallCaps/>
          <w:szCs w:val="22"/>
          <w:lang w:val="fr-FR"/>
        </w:rPr>
        <w:t xml:space="preserve"> J.P. &amp; Y. </w:t>
      </w:r>
      <w:proofErr w:type="spellStart"/>
      <w:r w:rsidRPr="00057CAF">
        <w:rPr>
          <w:rFonts w:eastAsiaTheme="minorHAnsi" w:cstheme="minorHAnsi"/>
          <w:smallCaps/>
          <w:szCs w:val="22"/>
          <w:lang w:val="fr-FR"/>
        </w:rPr>
        <w:t>Surry</w:t>
      </w:r>
      <w:proofErr w:type="spellEnd"/>
      <w:r w:rsidRPr="00057CAF">
        <w:rPr>
          <w:rFonts w:eastAsiaTheme="minorHAnsi" w:cstheme="minorHAnsi"/>
          <w:szCs w:val="22"/>
          <w:lang w:val="fr-FR"/>
        </w:rPr>
        <w:t>, 2013. Estimation des coûts en phytosanitaires pour les grandes cultures. Une approche par la régression quantile. Economie rurale 333 : 27-49.</w:t>
      </w:r>
    </w:p>
    <w:p w:rsidR="009716CF" w:rsidRPr="00057CAF" w:rsidRDefault="009716CF" w:rsidP="009716CF">
      <w:pPr>
        <w:spacing w:after="160"/>
        <w:jc w:val="left"/>
        <w:rPr>
          <w:rFonts w:eastAsiaTheme="minorHAnsi" w:cstheme="minorHAnsi"/>
          <w:szCs w:val="22"/>
          <w:lang w:val="fr-FR"/>
        </w:rPr>
      </w:pPr>
      <w:r w:rsidRPr="00057CAF">
        <w:rPr>
          <w:rFonts w:eastAsiaTheme="minorHAnsi" w:cstheme="minorHAnsi"/>
          <w:smallCaps/>
          <w:szCs w:val="22"/>
          <w:lang w:val="fr-FR"/>
        </w:rPr>
        <w:t xml:space="preserve">Desbois, D. &amp; B. </w:t>
      </w:r>
      <w:proofErr w:type="spellStart"/>
      <w:r w:rsidRPr="00057CAF">
        <w:rPr>
          <w:rFonts w:eastAsiaTheme="minorHAnsi" w:cstheme="minorHAnsi"/>
          <w:smallCaps/>
          <w:szCs w:val="22"/>
          <w:lang w:val="fr-FR"/>
        </w:rPr>
        <w:t>Legris</w:t>
      </w:r>
      <w:proofErr w:type="spellEnd"/>
      <w:r w:rsidRPr="00057CAF">
        <w:rPr>
          <w:rFonts w:eastAsiaTheme="minorHAnsi" w:cstheme="minorHAnsi"/>
          <w:szCs w:val="22"/>
          <w:lang w:val="fr-FR"/>
        </w:rPr>
        <w:t xml:space="preserve">. S.d. Prix et coûts de production de six grandes cultures : blé, maïs, colza, tournesol, betterave et pomme de terre. Agreste. </w:t>
      </w:r>
      <w:hyperlink r:id="rId35" w:history="1">
        <w:r w:rsidRPr="00057CAF">
          <w:rPr>
            <w:rFonts w:eastAsiaTheme="minorHAnsi" w:cstheme="minorHAnsi"/>
            <w:color w:val="0563C1" w:themeColor="hyperlink"/>
            <w:szCs w:val="22"/>
            <w:u w:val="single"/>
            <w:lang w:val="fr-FR"/>
          </w:rPr>
          <w:t>http://agreste.agriculture.gouv.fr/IMG/pdf/prixcouts0705-2.pdf</w:t>
        </w:r>
      </w:hyperlink>
      <w:r w:rsidRPr="00057CAF">
        <w:rPr>
          <w:rFonts w:eastAsiaTheme="minorHAnsi" w:cstheme="minorHAnsi"/>
          <w:szCs w:val="22"/>
          <w:lang w:val="fr-FR"/>
        </w:rPr>
        <w:t>, consulté le 13/08/2018.</w:t>
      </w:r>
    </w:p>
    <w:p w:rsidR="009716CF" w:rsidRPr="00057CAF" w:rsidRDefault="009716CF" w:rsidP="009716CF">
      <w:pPr>
        <w:spacing w:after="160"/>
        <w:rPr>
          <w:rFonts w:eastAsiaTheme="minorHAnsi" w:cstheme="minorHAnsi"/>
          <w:szCs w:val="22"/>
          <w:lang w:val="fr-FR"/>
        </w:rPr>
      </w:pPr>
      <w:r w:rsidRPr="00057CAF">
        <w:rPr>
          <w:rFonts w:eastAsiaTheme="minorHAnsi" w:cstheme="minorHAnsi"/>
          <w:szCs w:val="22"/>
          <w:lang w:val="fr-FR"/>
        </w:rPr>
        <w:t>DGA. 2005. Evolution de l’économie agricole et horticole de la Région Wallonne en 2004.</w:t>
      </w:r>
      <w:r w:rsidRPr="00057CAF">
        <w:rPr>
          <w:rFonts w:eastAsiaTheme="minorHAnsi" w:cstheme="minorBidi"/>
          <w:szCs w:val="22"/>
          <w:lang w:val="fr-FR"/>
        </w:rPr>
        <w:t xml:space="preserve"> Ministère de la Région Wallonne. </w:t>
      </w:r>
    </w:p>
    <w:p w:rsidR="009716CF" w:rsidRPr="00057CAF" w:rsidRDefault="009716CF" w:rsidP="009716CF">
      <w:pPr>
        <w:spacing w:after="160"/>
        <w:rPr>
          <w:rFonts w:eastAsiaTheme="minorHAnsi" w:cstheme="minorBidi"/>
          <w:szCs w:val="22"/>
          <w:lang w:val="fr-FR"/>
        </w:rPr>
      </w:pPr>
      <w:r w:rsidRPr="00057CAF">
        <w:rPr>
          <w:rFonts w:eastAsiaTheme="minorHAnsi" w:cstheme="minorHAnsi"/>
          <w:szCs w:val="22"/>
          <w:lang w:val="fr-FR"/>
        </w:rPr>
        <w:t xml:space="preserve">DGA. 2006. Evolution de l’économie agricole et horticole de la Région Wallonne, 2005-2006. </w:t>
      </w:r>
      <w:r w:rsidRPr="00057CAF">
        <w:rPr>
          <w:rFonts w:eastAsiaTheme="minorHAnsi" w:cstheme="minorBidi"/>
          <w:szCs w:val="22"/>
          <w:lang w:val="fr-FR"/>
        </w:rPr>
        <w:t>Ministère de la Région Wallonne.</w:t>
      </w:r>
    </w:p>
    <w:p w:rsidR="009716CF" w:rsidRPr="00057CAF" w:rsidRDefault="009716CF" w:rsidP="009716CF">
      <w:pPr>
        <w:spacing w:after="160"/>
        <w:rPr>
          <w:rFonts w:eastAsiaTheme="minorHAnsi" w:cstheme="minorHAnsi"/>
          <w:szCs w:val="22"/>
          <w:lang w:val="fr-FR"/>
        </w:rPr>
      </w:pPr>
      <w:r w:rsidRPr="00057CAF">
        <w:rPr>
          <w:rFonts w:eastAsiaTheme="minorHAnsi" w:cstheme="minorHAnsi"/>
          <w:szCs w:val="22"/>
          <w:lang w:val="fr-FR"/>
        </w:rPr>
        <w:t xml:space="preserve">DGA. 2007. Evolution de l’économie agricole et horticole de la Région Wallonne, 2006-2007. </w:t>
      </w:r>
      <w:r w:rsidRPr="00057CAF">
        <w:rPr>
          <w:rFonts w:eastAsiaTheme="minorHAnsi" w:cstheme="minorBidi"/>
          <w:szCs w:val="22"/>
          <w:lang w:val="fr-FR"/>
        </w:rPr>
        <w:t>Ministère de la Région Wallonne.</w:t>
      </w:r>
    </w:p>
    <w:p w:rsidR="009716CF" w:rsidRPr="00057CAF" w:rsidRDefault="009716CF" w:rsidP="009716CF">
      <w:pPr>
        <w:spacing w:after="160"/>
        <w:rPr>
          <w:rFonts w:eastAsiaTheme="minorHAnsi" w:cstheme="minorHAnsi"/>
          <w:szCs w:val="22"/>
          <w:lang w:val="fr-FR"/>
        </w:rPr>
      </w:pPr>
      <w:proofErr w:type="spellStart"/>
      <w:r w:rsidRPr="00057CAF">
        <w:rPr>
          <w:rFonts w:eastAsiaTheme="minorHAnsi" w:cstheme="minorHAnsi"/>
          <w:szCs w:val="22"/>
          <w:lang w:val="fr-FR"/>
        </w:rPr>
        <w:t>DGoARNE</w:t>
      </w:r>
      <w:proofErr w:type="spellEnd"/>
      <w:r w:rsidRPr="00057CAF">
        <w:rPr>
          <w:rFonts w:eastAsiaTheme="minorHAnsi" w:cstheme="minorHAnsi"/>
          <w:szCs w:val="22"/>
          <w:lang w:val="fr-FR"/>
        </w:rPr>
        <w:t>. 2008. Evolution de l’économie agricole et horticole de la Région Wallonne, 2007-2008. SPW, DGO Agriculture, Ressources Naturelles et Environnement.</w:t>
      </w:r>
    </w:p>
    <w:p w:rsidR="009716CF" w:rsidRPr="00057CAF" w:rsidRDefault="009716CF" w:rsidP="009716CF">
      <w:pPr>
        <w:spacing w:after="160"/>
        <w:rPr>
          <w:rFonts w:eastAsiaTheme="minorHAnsi" w:cstheme="minorHAnsi"/>
          <w:szCs w:val="22"/>
          <w:lang w:val="fr-FR"/>
        </w:rPr>
      </w:pPr>
      <w:proofErr w:type="spellStart"/>
      <w:r w:rsidRPr="00057CAF">
        <w:rPr>
          <w:rFonts w:eastAsiaTheme="minorHAnsi" w:cstheme="minorHAnsi"/>
          <w:szCs w:val="22"/>
          <w:lang w:val="fr-FR"/>
        </w:rPr>
        <w:t>DGoARNE</w:t>
      </w:r>
      <w:proofErr w:type="spellEnd"/>
      <w:r w:rsidRPr="00057CAF">
        <w:rPr>
          <w:rFonts w:eastAsiaTheme="minorHAnsi" w:cstheme="minorHAnsi"/>
          <w:szCs w:val="22"/>
          <w:lang w:val="fr-FR"/>
        </w:rPr>
        <w:t>. 2009. Evolution de l’économie agricole et horticole de la Région Wallonne, 2008-2009. SPW, DGO Agriculture, Ressources Naturelles et Environnement</w:t>
      </w:r>
    </w:p>
    <w:p w:rsidR="009716CF" w:rsidRPr="00057CAF" w:rsidRDefault="009716CF" w:rsidP="009716CF">
      <w:pPr>
        <w:spacing w:after="160"/>
        <w:rPr>
          <w:rFonts w:eastAsiaTheme="minorHAnsi" w:cstheme="minorHAnsi"/>
          <w:szCs w:val="22"/>
          <w:lang w:val="fr-FR"/>
        </w:rPr>
      </w:pPr>
      <w:proofErr w:type="spellStart"/>
      <w:r w:rsidRPr="00057CAF">
        <w:rPr>
          <w:rFonts w:eastAsiaTheme="minorHAnsi" w:cstheme="minorHAnsi"/>
          <w:szCs w:val="22"/>
          <w:lang w:val="fr-FR"/>
        </w:rPr>
        <w:lastRenderedPageBreak/>
        <w:t>DGoARNE</w:t>
      </w:r>
      <w:proofErr w:type="spellEnd"/>
      <w:r w:rsidRPr="00057CAF">
        <w:rPr>
          <w:rFonts w:eastAsiaTheme="minorHAnsi" w:cstheme="minorHAnsi"/>
          <w:szCs w:val="22"/>
          <w:lang w:val="fr-FR"/>
        </w:rPr>
        <w:t>. 2010. Evolution de l’économie agricole et horticole de la Wallonie, 2009-2010. SPW, DGO Agriculture, Ressources Naturelles et Environnement.</w:t>
      </w:r>
    </w:p>
    <w:p w:rsidR="009716CF" w:rsidRPr="00057CAF" w:rsidRDefault="009716CF" w:rsidP="009716CF">
      <w:pPr>
        <w:spacing w:after="160"/>
        <w:rPr>
          <w:rFonts w:eastAsiaTheme="minorHAnsi" w:cstheme="minorHAnsi"/>
          <w:szCs w:val="22"/>
          <w:lang w:val="fr-FR"/>
        </w:rPr>
      </w:pPr>
      <w:proofErr w:type="spellStart"/>
      <w:r w:rsidRPr="00057CAF">
        <w:rPr>
          <w:rFonts w:eastAsiaTheme="minorHAnsi" w:cstheme="minorHAnsi"/>
          <w:szCs w:val="22"/>
          <w:lang w:val="fr-FR"/>
        </w:rPr>
        <w:t>DGoARNE</w:t>
      </w:r>
      <w:proofErr w:type="spellEnd"/>
      <w:r w:rsidRPr="00057CAF">
        <w:rPr>
          <w:rFonts w:eastAsiaTheme="minorHAnsi" w:cstheme="minorHAnsi"/>
          <w:szCs w:val="22"/>
          <w:lang w:val="fr-FR"/>
        </w:rPr>
        <w:t>. 2011. Evolution de l’économie agricole et horticole de la Wallonie, 2010-2011. SPW, DGO Agriculture, Ressources Naturelles et Environnement.</w:t>
      </w:r>
    </w:p>
    <w:p w:rsidR="009716CF" w:rsidRPr="00057CAF" w:rsidRDefault="009716CF" w:rsidP="009716CF">
      <w:pPr>
        <w:spacing w:after="160"/>
        <w:rPr>
          <w:rFonts w:eastAsiaTheme="minorHAnsi" w:cstheme="minorHAnsi"/>
          <w:szCs w:val="22"/>
          <w:lang w:val="fr-FR"/>
        </w:rPr>
      </w:pPr>
      <w:proofErr w:type="spellStart"/>
      <w:r w:rsidRPr="00057CAF">
        <w:rPr>
          <w:rFonts w:eastAsiaTheme="minorHAnsi" w:cstheme="minorHAnsi"/>
          <w:szCs w:val="22"/>
          <w:lang w:val="fr-FR"/>
        </w:rPr>
        <w:t>DGoARNE</w:t>
      </w:r>
      <w:proofErr w:type="spellEnd"/>
      <w:r w:rsidRPr="00057CAF">
        <w:rPr>
          <w:rFonts w:eastAsiaTheme="minorHAnsi" w:cstheme="minorHAnsi"/>
          <w:szCs w:val="22"/>
          <w:lang w:val="fr-FR"/>
        </w:rPr>
        <w:t xml:space="preserve">. 2012. Evolution de l’économie agricole et horticole de la Wallonie, 2011-2012. SPW, DGO Agriculture, Ressources Naturelles et Environnement. </w:t>
      </w:r>
    </w:p>
    <w:p w:rsidR="009716CF" w:rsidRPr="00057CAF" w:rsidRDefault="009716CF" w:rsidP="009716CF">
      <w:pPr>
        <w:spacing w:after="160"/>
        <w:rPr>
          <w:rFonts w:eastAsiaTheme="minorHAnsi" w:cstheme="minorHAnsi"/>
          <w:szCs w:val="22"/>
          <w:lang w:val="fr-FR"/>
        </w:rPr>
      </w:pPr>
      <w:proofErr w:type="spellStart"/>
      <w:r w:rsidRPr="00057CAF">
        <w:rPr>
          <w:rFonts w:eastAsiaTheme="minorHAnsi" w:cstheme="minorHAnsi"/>
          <w:szCs w:val="22"/>
          <w:lang w:val="fr-FR"/>
        </w:rPr>
        <w:t>DGoARNE</w:t>
      </w:r>
      <w:proofErr w:type="spellEnd"/>
      <w:r w:rsidRPr="00057CAF">
        <w:rPr>
          <w:rFonts w:eastAsiaTheme="minorHAnsi" w:cstheme="minorHAnsi"/>
          <w:szCs w:val="22"/>
          <w:lang w:val="fr-FR"/>
        </w:rPr>
        <w:t>. 2014. Evolution de l’économie agricole et horticole de la Wallonie, 2012-2013. SPW, DGO Agriculture, Ressources Naturelles et Environnement.</w:t>
      </w:r>
    </w:p>
    <w:p w:rsidR="009716CF" w:rsidRPr="00057CAF" w:rsidRDefault="009716CF" w:rsidP="009716CF">
      <w:pPr>
        <w:spacing w:after="160"/>
        <w:rPr>
          <w:rFonts w:eastAsiaTheme="minorHAnsi" w:cstheme="minorHAnsi"/>
          <w:szCs w:val="22"/>
          <w:lang w:val="fr-FR"/>
        </w:rPr>
      </w:pPr>
      <w:proofErr w:type="spellStart"/>
      <w:r w:rsidRPr="00057CAF">
        <w:rPr>
          <w:rFonts w:eastAsiaTheme="minorHAnsi" w:cstheme="minorHAnsi"/>
          <w:szCs w:val="22"/>
          <w:lang w:val="fr-FR"/>
        </w:rPr>
        <w:t>DGoARNE</w:t>
      </w:r>
      <w:proofErr w:type="spellEnd"/>
      <w:r w:rsidRPr="00057CAF">
        <w:rPr>
          <w:rFonts w:eastAsiaTheme="minorHAnsi" w:cstheme="minorHAnsi"/>
          <w:szCs w:val="22"/>
          <w:lang w:val="fr-FR"/>
        </w:rPr>
        <w:t>. 2015 Evolution de l’économie agricole et horticole de la Wallonie, 2013-2014. SPW, DGO Agriculture, Ressources Naturelles et Environnement.</w:t>
      </w:r>
    </w:p>
    <w:p w:rsidR="009716CF" w:rsidRPr="00057CAF" w:rsidRDefault="009716CF" w:rsidP="009716CF">
      <w:pPr>
        <w:spacing w:after="160"/>
        <w:rPr>
          <w:rFonts w:eastAsiaTheme="minorHAnsi" w:cstheme="minorHAnsi"/>
          <w:szCs w:val="22"/>
          <w:lang w:val="fr-FR"/>
        </w:rPr>
      </w:pPr>
      <w:proofErr w:type="spellStart"/>
      <w:r w:rsidRPr="00057CAF">
        <w:rPr>
          <w:rFonts w:eastAsiaTheme="minorHAnsi" w:cstheme="minorHAnsi"/>
          <w:szCs w:val="22"/>
          <w:lang w:val="fr-FR"/>
        </w:rPr>
        <w:t>DGoARNE</w:t>
      </w:r>
      <w:proofErr w:type="spellEnd"/>
      <w:r w:rsidRPr="00057CAF">
        <w:rPr>
          <w:rFonts w:eastAsiaTheme="minorHAnsi" w:cstheme="minorHAnsi"/>
          <w:szCs w:val="22"/>
          <w:lang w:val="fr-FR"/>
        </w:rPr>
        <w:t>. 2016. Evolution de l’économie agricole et horticole de la Wallonie, 2014-2015. SPW, DGO Agriculture, Ressources Naturelles et Environnement.</w:t>
      </w:r>
    </w:p>
    <w:p w:rsidR="009716CF" w:rsidRPr="00057CAF" w:rsidRDefault="009716CF" w:rsidP="009716CF">
      <w:pPr>
        <w:spacing w:after="160"/>
        <w:rPr>
          <w:rFonts w:eastAsiaTheme="minorHAnsi" w:cstheme="minorHAnsi"/>
          <w:szCs w:val="22"/>
          <w:lang w:val="fr-FR"/>
        </w:rPr>
      </w:pPr>
      <w:proofErr w:type="spellStart"/>
      <w:r w:rsidRPr="00057CAF">
        <w:rPr>
          <w:rFonts w:eastAsiaTheme="minorHAnsi" w:cstheme="minorHAnsi"/>
          <w:szCs w:val="22"/>
          <w:lang w:val="fr-FR"/>
        </w:rPr>
        <w:t>DGoARNE</w:t>
      </w:r>
      <w:proofErr w:type="spellEnd"/>
      <w:r w:rsidRPr="00057CAF">
        <w:rPr>
          <w:rFonts w:eastAsiaTheme="minorHAnsi" w:cstheme="minorHAnsi"/>
          <w:szCs w:val="22"/>
          <w:lang w:val="fr-FR"/>
        </w:rPr>
        <w:t>. 2017. Evolution de l’économie agricole et horticole de la Wallonie, 2015. SPW, DGO Agriculture, Ressources Naturelles et Environnement.</w:t>
      </w:r>
    </w:p>
    <w:p w:rsidR="009716CF" w:rsidRPr="00057CAF" w:rsidRDefault="009716CF" w:rsidP="009716CF">
      <w:pPr>
        <w:spacing w:after="160"/>
        <w:rPr>
          <w:rFonts w:eastAsiaTheme="minorHAnsi" w:cstheme="minorHAnsi"/>
          <w:szCs w:val="22"/>
          <w:lang w:val="fr-FR"/>
        </w:rPr>
      </w:pPr>
      <w:proofErr w:type="spellStart"/>
      <w:r w:rsidRPr="00057CAF">
        <w:rPr>
          <w:rFonts w:eastAsiaTheme="minorHAnsi" w:cstheme="minorHAnsi"/>
          <w:szCs w:val="22"/>
          <w:lang w:val="fr-FR"/>
        </w:rPr>
        <w:t>DGoARNE</w:t>
      </w:r>
      <w:proofErr w:type="spellEnd"/>
      <w:r w:rsidRPr="00057CAF">
        <w:rPr>
          <w:rFonts w:eastAsiaTheme="minorHAnsi" w:cstheme="minorHAnsi"/>
          <w:szCs w:val="22"/>
          <w:lang w:val="fr-FR"/>
        </w:rPr>
        <w:t>. 2018. Evolution de l’économie agricole et horticole de la Wallonie, 2016. SPW, DGO Agriculture, Ressources Naturelles et Environnement.</w:t>
      </w:r>
    </w:p>
    <w:p w:rsidR="009716CF" w:rsidRPr="00057CAF" w:rsidRDefault="007A1A9A" w:rsidP="009716CF">
      <w:pPr>
        <w:spacing w:after="160"/>
        <w:rPr>
          <w:rFonts w:eastAsiaTheme="minorHAnsi" w:cstheme="minorHAnsi"/>
          <w:szCs w:val="22"/>
          <w:lang w:val="fr-FR"/>
        </w:rPr>
      </w:pPr>
      <w:proofErr w:type="spellStart"/>
      <w:r w:rsidRPr="00057CAF">
        <w:rPr>
          <w:rFonts w:eastAsiaTheme="minorHAnsi" w:cstheme="minorHAnsi"/>
          <w:smallCaps/>
          <w:szCs w:val="22"/>
          <w:lang w:val="fr-FR"/>
        </w:rPr>
        <w:t>Dollé</w:t>
      </w:r>
      <w:proofErr w:type="spellEnd"/>
      <w:r w:rsidRPr="00057CAF">
        <w:rPr>
          <w:rFonts w:eastAsiaTheme="minorHAnsi" w:cstheme="minorHAnsi"/>
          <w:smallCaps/>
          <w:szCs w:val="22"/>
          <w:lang w:val="fr-FR"/>
        </w:rPr>
        <w:t>, J.P. &amp; P. Robin</w:t>
      </w:r>
      <w:r w:rsidRPr="00057CAF">
        <w:rPr>
          <w:rFonts w:eastAsiaTheme="minorHAnsi" w:cstheme="minorHAnsi"/>
          <w:szCs w:val="22"/>
          <w:lang w:val="fr-FR"/>
        </w:rPr>
        <w:t xml:space="preserve">. </w:t>
      </w:r>
      <w:r w:rsidR="009716CF" w:rsidRPr="00057CAF">
        <w:rPr>
          <w:rFonts w:eastAsiaTheme="minorHAnsi" w:cstheme="minorHAnsi"/>
          <w:szCs w:val="22"/>
          <w:lang w:val="fr-FR"/>
        </w:rPr>
        <w:t>2006. Emissions de gaz à effet de serre en bâtiment d’élevage bovin. Fourrages 186 : 205-214.</w:t>
      </w:r>
    </w:p>
    <w:p w:rsidR="009716CF" w:rsidRPr="00057CAF" w:rsidRDefault="009716CF" w:rsidP="009716CF">
      <w:pPr>
        <w:spacing w:after="160"/>
        <w:rPr>
          <w:rFonts w:eastAsiaTheme="minorHAnsi" w:cstheme="minorHAnsi"/>
          <w:szCs w:val="22"/>
          <w:lang w:val="fr-FR"/>
        </w:rPr>
      </w:pPr>
      <w:proofErr w:type="spellStart"/>
      <w:r w:rsidRPr="00057CAF">
        <w:rPr>
          <w:rFonts w:eastAsiaTheme="minorHAnsi" w:cstheme="minorHAnsi"/>
          <w:smallCaps/>
          <w:szCs w:val="22"/>
          <w:lang w:val="fr-FR"/>
        </w:rPr>
        <w:t>Dumortier</w:t>
      </w:r>
      <w:proofErr w:type="spellEnd"/>
      <w:r w:rsidRPr="00057CAF">
        <w:rPr>
          <w:rFonts w:eastAsiaTheme="minorHAnsi" w:cstheme="minorHAnsi"/>
          <w:smallCaps/>
          <w:szCs w:val="22"/>
          <w:lang w:val="fr-FR"/>
        </w:rPr>
        <w:t xml:space="preserve"> P, </w:t>
      </w:r>
      <w:proofErr w:type="spellStart"/>
      <w:r w:rsidRPr="00057CAF">
        <w:rPr>
          <w:rFonts w:eastAsiaTheme="minorHAnsi" w:cstheme="minorHAnsi"/>
          <w:smallCaps/>
          <w:szCs w:val="22"/>
          <w:lang w:val="fr-FR"/>
        </w:rPr>
        <w:t>Degard</w:t>
      </w:r>
      <w:proofErr w:type="spellEnd"/>
      <w:r w:rsidRPr="00057CAF">
        <w:rPr>
          <w:rFonts w:eastAsiaTheme="minorHAnsi" w:cstheme="minorHAnsi"/>
          <w:smallCaps/>
          <w:szCs w:val="22"/>
          <w:lang w:val="fr-FR"/>
        </w:rPr>
        <w:t xml:space="preserve"> C, </w:t>
      </w:r>
      <w:proofErr w:type="spellStart"/>
      <w:r w:rsidRPr="00057CAF">
        <w:rPr>
          <w:rFonts w:eastAsiaTheme="minorHAnsi" w:cstheme="minorHAnsi"/>
          <w:smallCaps/>
          <w:szCs w:val="22"/>
          <w:lang w:val="fr-FR"/>
        </w:rPr>
        <w:t>Aubinet</w:t>
      </w:r>
      <w:proofErr w:type="spellEnd"/>
      <w:r w:rsidRPr="00057CAF">
        <w:rPr>
          <w:rFonts w:eastAsiaTheme="minorHAnsi" w:cstheme="minorHAnsi"/>
          <w:smallCaps/>
          <w:szCs w:val="22"/>
          <w:lang w:val="fr-FR"/>
        </w:rPr>
        <w:t xml:space="preserve"> M, </w:t>
      </w:r>
      <w:proofErr w:type="spellStart"/>
      <w:r w:rsidRPr="00057CAF">
        <w:rPr>
          <w:rFonts w:eastAsiaTheme="minorHAnsi" w:cstheme="minorHAnsi"/>
          <w:smallCaps/>
          <w:szCs w:val="22"/>
          <w:lang w:val="fr-FR"/>
        </w:rPr>
        <w:t>Beckers</w:t>
      </w:r>
      <w:proofErr w:type="spellEnd"/>
      <w:r w:rsidRPr="00057CAF">
        <w:rPr>
          <w:rFonts w:eastAsiaTheme="minorHAnsi" w:cstheme="minorHAnsi"/>
          <w:smallCaps/>
          <w:szCs w:val="22"/>
          <w:lang w:val="fr-FR"/>
        </w:rPr>
        <w:t xml:space="preserve"> Y, Bodson B &amp; </w:t>
      </w:r>
      <w:proofErr w:type="spellStart"/>
      <w:r w:rsidRPr="00057CAF">
        <w:rPr>
          <w:rFonts w:eastAsiaTheme="minorHAnsi" w:cstheme="minorHAnsi"/>
          <w:smallCaps/>
          <w:szCs w:val="22"/>
          <w:lang w:val="fr-FR"/>
        </w:rPr>
        <w:t>Moureaux</w:t>
      </w:r>
      <w:proofErr w:type="spellEnd"/>
      <w:r w:rsidRPr="00057CAF">
        <w:rPr>
          <w:rFonts w:eastAsiaTheme="minorHAnsi" w:cstheme="minorHAnsi"/>
          <w:szCs w:val="22"/>
          <w:lang w:val="fr-FR"/>
        </w:rPr>
        <w:t xml:space="preserve"> C, 2012. Rapport CLIMAGRO : Evaluation de l’impact climatique de la mesure agroenvironnementale n°7 : faible charge en bétail. 58p. </w:t>
      </w:r>
    </w:p>
    <w:p w:rsidR="009716CF" w:rsidRPr="00057CAF" w:rsidRDefault="009716CF" w:rsidP="009716CF">
      <w:pPr>
        <w:spacing w:after="160"/>
        <w:jc w:val="left"/>
        <w:rPr>
          <w:rFonts w:eastAsiaTheme="minorHAnsi" w:cstheme="minorHAnsi"/>
          <w:szCs w:val="22"/>
          <w:lang w:val="fr-FR"/>
        </w:rPr>
      </w:pPr>
      <w:r w:rsidRPr="00057CAF">
        <w:rPr>
          <w:rFonts w:eastAsiaTheme="minorHAnsi" w:cstheme="minorHAnsi"/>
          <w:szCs w:val="22"/>
          <w:lang w:val="fr-FR"/>
        </w:rPr>
        <w:t>ELO, 2012. L’explosion démographique du sanglier en Europe. Défis et perspectives.</w:t>
      </w:r>
    </w:p>
    <w:p w:rsidR="009716CF" w:rsidRPr="00057CAF" w:rsidRDefault="009716CF" w:rsidP="009716CF">
      <w:pPr>
        <w:spacing w:after="160"/>
        <w:jc w:val="left"/>
        <w:rPr>
          <w:rFonts w:eastAsiaTheme="minorHAnsi" w:cstheme="minorHAnsi"/>
          <w:szCs w:val="22"/>
          <w:lang w:val="fr-FR"/>
        </w:rPr>
      </w:pPr>
      <w:r w:rsidRPr="00057CAF">
        <w:rPr>
          <w:rFonts w:eastAsiaTheme="minorHAnsi" w:cstheme="minorHAnsi"/>
          <w:smallCaps/>
          <w:szCs w:val="22"/>
          <w:lang w:val="fr-FR"/>
        </w:rPr>
        <w:t>Guillaume, M</w:t>
      </w:r>
      <w:r w:rsidRPr="00057CAF">
        <w:rPr>
          <w:rFonts w:eastAsiaTheme="minorHAnsi" w:cstheme="minorHAnsi"/>
          <w:szCs w:val="22"/>
          <w:lang w:val="fr-FR"/>
        </w:rPr>
        <w:t xml:space="preserve">. 2015. Etude sur la participation aux Mesures Agroenvironnementales en Région Wallonne. Le cas de la MB2 « prairie naturelles ». </w:t>
      </w:r>
      <w:proofErr w:type="spellStart"/>
      <w:r w:rsidRPr="00057CAF">
        <w:rPr>
          <w:rFonts w:eastAsiaTheme="minorHAnsi" w:cstheme="minorHAnsi"/>
          <w:szCs w:val="22"/>
          <w:lang w:val="fr-FR"/>
        </w:rPr>
        <w:t>Natagriwal</w:t>
      </w:r>
      <w:proofErr w:type="spellEnd"/>
      <w:r w:rsidRPr="00057CAF">
        <w:rPr>
          <w:rFonts w:eastAsiaTheme="minorHAnsi" w:cstheme="minorHAnsi"/>
          <w:szCs w:val="22"/>
          <w:lang w:val="fr-FR"/>
        </w:rPr>
        <w:t>.</w:t>
      </w:r>
    </w:p>
    <w:p w:rsidR="009716CF" w:rsidRPr="00057CAF" w:rsidRDefault="009716CF" w:rsidP="009716CF">
      <w:pPr>
        <w:spacing w:after="160" w:line="259" w:lineRule="auto"/>
        <w:rPr>
          <w:rFonts w:eastAsiaTheme="minorHAnsi" w:cstheme="minorBidi"/>
          <w:szCs w:val="22"/>
          <w:lang w:val="fr-FR"/>
        </w:rPr>
      </w:pPr>
      <w:r w:rsidRPr="00057CAF">
        <w:rPr>
          <w:rFonts w:eastAsiaTheme="minorHAnsi" w:cstheme="minorBidi"/>
          <w:smallCaps/>
          <w:szCs w:val="22"/>
          <w:lang w:val="fr-FR"/>
        </w:rPr>
        <w:t xml:space="preserve">Guillitte, O., Sérusiaux, E. &amp; A. </w:t>
      </w:r>
      <w:proofErr w:type="spellStart"/>
      <w:r w:rsidRPr="00057CAF">
        <w:rPr>
          <w:rFonts w:eastAsiaTheme="minorHAnsi" w:cstheme="minorBidi"/>
          <w:smallCaps/>
          <w:szCs w:val="22"/>
          <w:lang w:val="fr-FR"/>
        </w:rPr>
        <w:t>Vanderpoorteren</w:t>
      </w:r>
      <w:proofErr w:type="spellEnd"/>
      <w:r w:rsidRPr="00057CAF">
        <w:rPr>
          <w:rFonts w:eastAsiaTheme="minorHAnsi" w:cstheme="minorBidi"/>
          <w:szCs w:val="22"/>
          <w:lang w:val="fr-FR"/>
        </w:rPr>
        <w:t>. 2007. Les cryptogames non vasculaires (mousses et hépatiques, champignons, lichens) in Cellule Etat de l’Environnement Wallon. Rapport analytique sur l’état de l’environnement wallon 2006-2007. MRW-DGRNE, Namur.</w:t>
      </w:r>
    </w:p>
    <w:p w:rsidR="009716CF" w:rsidRPr="00057CAF" w:rsidRDefault="009716CF" w:rsidP="009716CF">
      <w:pPr>
        <w:spacing w:after="160"/>
        <w:jc w:val="left"/>
        <w:rPr>
          <w:rFonts w:eastAsiaTheme="minorHAnsi" w:cstheme="minorHAnsi"/>
          <w:szCs w:val="22"/>
          <w:lang w:val="fr-FR"/>
        </w:rPr>
      </w:pPr>
      <w:r w:rsidRPr="00057CAF">
        <w:rPr>
          <w:rFonts w:eastAsiaTheme="minorHAnsi" w:cstheme="minorHAnsi"/>
          <w:szCs w:val="22"/>
          <w:lang w:val="fr-FR"/>
        </w:rPr>
        <w:t xml:space="preserve">ICEW, 2014. Les indicateurs clés de l’environnement wallon. Direction de l’Etat Environnemental SPW-DGARNE-DEMNA-DEE. </w:t>
      </w:r>
    </w:p>
    <w:p w:rsidR="009716CF" w:rsidRPr="00057CAF" w:rsidRDefault="009716CF" w:rsidP="009716CF">
      <w:pPr>
        <w:spacing w:after="160"/>
        <w:jc w:val="left"/>
        <w:rPr>
          <w:rFonts w:eastAsiaTheme="minorHAnsi" w:cstheme="minorHAnsi"/>
          <w:szCs w:val="22"/>
          <w:lang w:val="fr-FR"/>
        </w:rPr>
      </w:pPr>
      <w:r w:rsidRPr="00057CAF">
        <w:rPr>
          <w:rFonts w:eastAsiaTheme="minorHAnsi" w:cstheme="minorHAnsi"/>
          <w:szCs w:val="22"/>
          <w:lang w:val="fr-FR"/>
        </w:rPr>
        <w:t xml:space="preserve">ICEW, 2017. Les indicateurs clés de l’environnement wallon. Direction de l’Etat Environnemental SPW-DGARNE-DEMNA-DEE. </w:t>
      </w:r>
    </w:p>
    <w:p w:rsidR="009716CF" w:rsidRPr="00057CAF" w:rsidRDefault="009716CF" w:rsidP="009716CF">
      <w:pPr>
        <w:spacing w:after="160"/>
        <w:jc w:val="left"/>
        <w:rPr>
          <w:rFonts w:eastAsiaTheme="minorHAnsi" w:cstheme="minorHAnsi"/>
          <w:szCs w:val="22"/>
          <w:lang w:val="fr-FR"/>
        </w:rPr>
      </w:pPr>
      <w:r w:rsidRPr="00057CAF">
        <w:rPr>
          <w:rFonts w:eastAsiaTheme="minorHAnsi" w:cstheme="minorHAnsi"/>
          <w:szCs w:val="22"/>
          <w:lang w:val="fr-FR"/>
        </w:rPr>
        <w:t>IFA, IFDC, IPI, PPI et FAO, 2002. Utilisation des engrais par culture, 5ème édition, Rome, 67 p.</w:t>
      </w:r>
    </w:p>
    <w:p w:rsidR="00846B79" w:rsidRPr="00846B79" w:rsidRDefault="00E9242B" w:rsidP="00846B79">
      <w:pPr>
        <w:rPr>
          <w:rFonts w:eastAsiaTheme="minorHAnsi" w:cstheme="minorHAnsi"/>
          <w:szCs w:val="22"/>
          <w:lang w:val="en-US"/>
        </w:rPr>
      </w:pPr>
      <w:hyperlink r:id="rId36" w:tooltip="Kleijn D" w:history="1">
        <w:proofErr w:type="spellStart"/>
        <w:r w:rsidR="00846B79" w:rsidRPr="00057CAF">
          <w:rPr>
            <w:rStyle w:val="Lienhypertexte"/>
            <w:smallCaps/>
            <w:lang w:val="fr-FR"/>
          </w:rPr>
          <w:t>Kleijn</w:t>
        </w:r>
        <w:proofErr w:type="spellEnd"/>
        <w:r w:rsidR="00846B79" w:rsidRPr="00057CAF">
          <w:rPr>
            <w:rStyle w:val="Lienhypertexte"/>
            <w:smallCaps/>
            <w:lang w:val="fr-FR"/>
          </w:rPr>
          <w:t xml:space="preserve"> D</w:t>
        </w:r>
      </w:hyperlink>
      <w:r w:rsidR="00846B79" w:rsidRPr="00057CAF">
        <w:rPr>
          <w:smallCaps/>
          <w:lang w:val="fr-FR"/>
        </w:rPr>
        <w:t xml:space="preserve">., </w:t>
      </w:r>
      <w:hyperlink r:id="rId37" w:tooltip="Kohler F" w:history="1">
        <w:r w:rsidR="00846B79" w:rsidRPr="00057CAF">
          <w:rPr>
            <w:rStyle w:val="Lienhypertexte"/>
            <w:smallCaps/>
            <w:lang w:val="fr-FR"/>
          </w:rPr>
          <w:t>Kohler F</w:t>
        </w:r>
      </w:hyperlink>
      <w:r w:rsidR="00846B79" w:rsidRPr="00057CAF">
        <w:rPr>
          <w:smallCaps/>
          <w:lang w:val="fr-FR"/>
        </w:rPr>
        <w:t xml:space="preserve">., </w:t>
      </w:r>
      <w:hyperlink r:id="rId38" w:tooltip="Báldi A" w:history="1">
        <w:proofErr w:type="spellStart"/>
        <w:r w:rsidR="00846B79" w:rsidRPr="00057CAF">
          <w:rPr>
            <w:rStyle w:val="Lienhypertexte"/>
            <w:smallCaps/>
            <w:lang w:val="fr-FR"/>
          </w:rPr>
          <w:t>Báldi</w:t>
        </w:r>
        <w:proofErr w:type="spellEnd"/>
        <w:r w:rsidR="00846B79" w:rsidRPr="00057CAF">
          <w:rPr>
            <w:rStyle w:val="Lienhypertexte"/>
            <w:smallCaps/>
            <w:lang w:val="fr-FR"/>
          </w:rPr>
          <w:t xml:space="preserve"> A</w:t>
        </w:r>
      </w:hyperlink>
      <w:r w:rsidR="00846B79" w:rsidRPr="00057CAF">
        <w:rPr>
          <w:smallCaps/>
          <w:lang w:val="fr-FR"/>
        </w:rPr>
        <w:t xml:space="preserve">, </w:t>
      </w:r>
      <w:hyperlink r:id="rId39" w:tooltip="Batáry P" w:history="1">
        <w:proofErr w:type="spellStart"/>
        <w:r w:rsidR="00846B79" w:rsidRPr="00057CAF">
          <w:rPr>
            <w:rStyle w:val="Lienhypertexte"/>
            <w:smallCaps/>
            <w:lang w:val="fr-FR"/>
          </w:rPr>
          <w:t>Batáry</w:t>
        </w:r>
        <w:proofErr w:type="spellEnd"/>
        <w:r w:rsidR="00846B79" w:rsidRPr="00057CAF">
          <w:rPr>
            <w:rStyle w:val="Lienhypertexte"/>
            <w:smallCaps/>
            <w:lang w:val="fr-FR"/>
          </w:rPr>
          <w:t xml:space="preserve"> P</w:t>
        </w:r>
      </w:hyperlink>
      <w:r w:rsidR="00846B79" w:rsidRPr="00057CAF">
        <w:rPr>
          <w:smallCaps/>
          <w:lang w:val="fr-FR"/>
        </w:rPr>
        <w:t xml:space="preserve">., </w:t>
      </w:r>
      <w:hyperlink r:id="rId40" w:tooltip="Concepción E.D" w:history="1">
        <w:r w:rsidR="00846B79" w:rsidRPr="00057CAF">
          <w:rPr>
            <w:rStyle w:val="Lienhypertexte"/>
            <w:smallCaps/>
            <w:lang w:val="fr-FR"/>
          </w:rPr>
          <w:t>Concepción E.D</w:t>
        </w:r>
      </w:hyperlink>
      <w:r w:rsidR="00846B79" w:rsidRPr="00057CAF">
        <w:rPr>
          <w:smallCaps/>
          <w:lang w:val="fr-FR"/>
        </w:rPr>
        <w:t xml:space="preserve">., </w:t>
      </w:r>
      <w:hyperlink r:id="rId41" w:tooltip="Clough Y" w:history="1">
        <w:proofErr w:type="spellStart"/>
        <w:r w:rsidR="00846B79" w:rsidRPr="00057CAF">
          <w:rPr>
            <w:rStyle w:val="Lienhypertexte"/>
            <w:smallCaps/>
            <w:lang w:val="fr-FR"/>
          </w:rPr>
          <w:t>Clough</w:t>
        </w:r>
        <w:proofErr w:type="spellEnd"/>
        <w:r w:rsidR="00846B79" w:rsidRPr="00057CAF">
          <w:rPr>
            <w:rStyle w:val="Lienhypertexte"/>
            <w:smallCaps/>
            <w:lang w:val="fr-FR"/>
          </w:rPr>
          <w:t xml:space="preserve"> Y</w:t>
        </w:r>
      </w:hyperlink>
      <w:r w:rsidR="00846B79" w:rsidRPr="00057CAF">
        <w:rPr>
          <w:smallCaps/>
          <w:lang w:val="fr-FR"/>
        </w:rPr>
        <w:t xml:space="preserve">., </w:t>
      </w:r>
      <w:hyperlink r:id="rId42" w:tooltip="Díaz M" w:history="1">
        <w:proofErr w:type="spellStart"/>
        <w:r w:rsidR="00846B79" w:rsidRPr="00057CAF">
          <w:rPr>
            <w:rStyle w:val="Lienhypertexte"/>
            <w:smallCaps/>
            <w:lang w:val="fr-FR"/>
          </w:rPr>
          <w:t>Díaz</w:t>
        </w:r>
        <w:proofErr w:type="spellEnd"/>
        <w:r w:rsidR="00846B79" w:rsidRPr="00057CAF">
          <w:rPr>
            <w:rStyle w:val="Lienhypertexte"/>
            <w:smallCaps/>
            <w:lang w:val="fr-FR"/>
          </w:rPr>
          <w:t xml:space="preserve"> M</w:t>
        </w:r>
      </w:hyperlink>
      <w:r w:rsidR="00846B79" w:rsidRPr="00057CAF">
        <w:rPr>
          <w:smallCaps/>
          <w:lang w:val="fr-FR"/>
        </w:rPr>
        <w:t xml:space="preserve">., </w:t>
      </w:r>
      <w:hyperlink r:id="rId43" w:tooltip="Gabriel D" w:history="1">
        <w:r w:rsidR="00846B79" w:rsidRPr="00057CAF">
          <w:rPr>
            <w:rStyle w:val="Lienhypertexte"/>
            <w:smallCaps/>
            <w:lang w:val="fr-FR"/>
          </w:rPr>
          <w:t>Gabriel D</w:t>
        </w:r>
      </w:hyperlink>
      <w:r w:rsidR="00846B79" w:rsidRPr="00057CAF">
        <w:rPr>
          <w:smallCaps/>
          <w:lang w:val="fr-FR"/>
        </w:rPr>
        <w:t xml:space="preserve">., </w:t>
      </w:r>
      <w:hyperlink r:id="rId44" w:tooltip="Holzschuh A" w:history="1">
        <w:proofErr w:type="spellStart"/>
        <w:r w:rsidR="00846B79" w:rsidRPr="00057CAF">
          <w:rPr>
            <w:rStyle w:val="Lienhypertexte"/>
            <w:smallCaps/>
            <w:lang w:val="fr-FR"/>
          </w:rPr>
          <w:t>Holzschuh</w:t>
        </w:r>
        <w:proofErr w:type="spellEnd"/>
        <w:r w:rsidR="00846B79" w:rsidRPr="00057CAF">
          <w:rPr>
            <w:rStyle w:val="Lienhypertexte"/>
            <w:smallCaps/>
            <w:lang w:val="fr-FR"/>
          </w:rPr>
          <w:t xml:space="preserve"> A</w:t>
        </w:r>
      </w:hyperlink>
      <w:r w:rsidR="00846B79" w:rsidRPr="00057CAF">
        <w:rPr>
          <w:smallCaps/>
          <w:lang w:val="fr-FR"/>
        </w:rPr>
        <w:t xml:space="preserve">., </w:t>
      </w:r>
      <w:hyperlink r:id="rId45" w:tooltip="Knop E" w:history="1">
        <w:proofErr w:type="spellStart"/>
        <w:r w:rsidR="00846B79" w:rsidRPr="00057CAF">
          <w:rPr>
            <w:rStyle w:val="Lienhypertexte"/>
            <w:smallCaps/>
            <w:lang w:val="fr-FR"/>
          </w:rPr>
          <w:t>Knop</w:t>
        </w:r>
        <w:proofErr w:type="spellEnd"/>
        <w:r w:rsidR="00846B79" w:rsidRPr="00057CAF">
          <w:rPr>
            <w:rStyle w:val="Lienhypertexte"/>
            <w:smallCaps/>
            <w:lang w:val="fr-FR"/>
          </w:rPr>
          <w:t xml:space="preserve"> E</w:t>
        </w:r>
      </w:hyperlink>
      <w:r w:rsidR="00846B79" w:rsidRPr="00057CAF">
        <w:rPr>
          <w:smallCaps/>
          <w:lang w:val="fr-FR"/>
        </w:rPr>
        <w:t xml:space="preserve">., </w:t>
      </w:r>
      <w:hyperlink r:id="rId46" w:tooltip="Marshall E.J.P" w:history="1">
        <w:r w:rsidR="00846B79" w:rsidRPr="00057CAF">
          <w:rPr>
            <w:rStyle w:val="Lienhypertexte"/>
            <w:smallCaps/>
            <w:lang w:val="fr-FR"/>
          </w:rPr>
          <w:t>Marshall E.J.P</w:t>
        </w:r>
      </w:hyperlink>
      <w:r w:rsidR="00846B79" w:rsidRPr="00057CAF">
        <w:rPr>
          <w:smallCaps/>
          <w:lang w:val="fr-FR"/>
        </w:rPr>
        <w:t xml:space="preserve">., </w:t>
      </w:r>
      <w:hyperlink r:id="rId47" w:tooltip="Tscharntke T" w:history="1">
        <w:proofErr w:type="spellStart"/>
        <w:r w:rsidR="00846B79" w:rsidRPr="00057CAF">
          <w:rPr>
            <w:rStyle w:val="Lienhypertexte"/>
            <w:smallCaps/>
            <w:lang w:val="fr-FR"/>
          </w:rPr>
          <w:t>Tscharntke</w:t>
        </w:r>
        <w:proofErr w:type="spellEnd"/>
        <w:r w:rsidR="00846B79" w:rsidRPr="00057CAF">
          <w:rPr>
            <w:rStyle w:val="Lienhypertexte"/>
            <w:smallCaps/>
            <w:lang w:val="fr-FR"/>
          </w:rPr>
          <w:t xml:space="preserve"> T</w:t>
        </w:r>
      </w:hyperlink>
      <w:r w:rsidR="00846B79" w:rsidRPr="00057CAF">
        <w:rPr>
          <w:smallCaps/>
          <w:lang w:val="fr-FR"/>
        </w:rPr>
        <w:t xml:space="preserve"> &amp; </w:t>
      </w:r>
      <w:hyperlink r:id="rId48" w:tooltip="Verhulst J" w:history="1">
        <w:proofErr w:type="spellStart"/>
        <w:r w:rsidR="00846B79" w:rsidRPr="00057CAF">
          <w:rPr>
            <w:rStyle w:val="Lienhypertexte"/>
            <w:smallCaps/>
            <w:lang w:val="fr-FR"/>
          </w:rPr>
          <w:t>Verhulst</w:t>
        </w:r>
        <w:proofErr w:type="spellEnd"/>
        <w:r w:rsidR="00846B79" w:rsidRPr="00057CAF">
          <w:rPr>
            <w:rStyle w:val="Lienhypertexte"/>
            <w:smallCaps/>
            <w:lang w:val="fr-FR"/>
          </w:rPr>
          <w:t xml:space="preserve"> J</w:t>
        </w:r>
      </w:hyperlink>
      <w:r w:rsidR="00846B79" w:rsidRPr="00057CAF">
        <w:rPr>
          <w:lang w:val="fr-FR"/>
        </w:rPr>
        <w:t xml:space="preserve">. 2008. </w:t>
      </w:r>
      <w:r w:rsidR="00846B79" w:rsidRPr="00846B79">
        <w:rPr>
          <w:rFonts w:ascii="Arial" w:hAnsi="Arial" w:cs="Arial"/>
          <w:color w:val="333132"/>
          <w:sz w:val="21"/>
          <w:szCs w:val="21"/>
          <w:shd w:val="clear" w:color="auto" w:fill="FFFFFF"/>
          <w:lang w:val="en-US"/>
        </w:rPr>
        <w:t>On the relationship between farmland biodiversity and land-use intensity in Europe</w:t>
      </w:r>
      <w:r w:rsidR="00846B79" w:rsidRPr="00846B79">
        <w:rPr>
          <w:rFonts w:ascii="Arial" w:hAnsi="Arial" w:cs="Arial"/>
          <w:b/>
          <w:bCs/>
          <w:color w:val="333132"/>
          <w:sz w:val="21"/>
          <w:szCs w:val="21"/>
          <w:shd w:val="clear" w:color="auto" w:fill="FFFFFF"/>
          <w:lang w:val="en-US"/>
        </w:rPr>
        <w:t>276</w:t>
      </w:r>
      <w:r w:rsidR="00846B79" w:rsidRPr="00846B79">
        <w:rPr>
          <w:rFonts w:ascii="Arial" w:hAnsi="Arial" w:cs="Arial"/>
          <w:i/>
          <w:iCs/>
          <w:color w:val="333132"/>
          <w:sz w:val="21"/>
          <w:szCs w:val="21"/>
          <w:shd w:val="clear" w:color="auto" w:fill="FFFFFF"/>
          <w:lang w:val="en-US"/>
        </w:rPr>
        <w:t xml:space="preserve">Proceedings of the Royal Society </w:t>
      </w:r>
      <w:proofErr w:type="gramStart"/>
      <w:r w:rsidR="00846B79" w:rsidRPr="00846B79">
        <w:rPr>
          <w:rFonts w:ascii="Arial" w:hAnsi="Arial" w:cs="Arial"/>
          <w:i/>
          <w:iCs/>
          <w:color w:val="333132"/>
          <w:sz w:val="21"/>
          <w:szCs w:val="21"/>
          <w:shd w:val="clear" w:color="auto" w:fill="FFFFFF"/>
          <w:lang w:val="en-US"/>
        </w:rPr>
        <w:t>B:</w:t>
      </w:r>
      <w:proofErr w:type="gramEnd"/>
      <w:r w:rsidR="00846B79" w:rsidRPr="00846B79">
        <w:rPr>
          <w:rFonts w:ascii="Arial" w:hAnsi="Arial" w:cs="Arial"/>
          <w:i/>
          <w:iCs/>
          <w:color w:val="333132"/>
          <w:sz w:val="21"/>
          <w:szCs w:val="21"/>
          <w:shd w:val="clear" w:color="auto" w:fill="FFFFFF"/>
          <w:lang w:val="en-US"/>
        </w:rPr>
        <w:t xml:space="preserve"> Biological Sciences</w:t>
      </w:r>
    </w:p>
    <w:p w:rsidR="009716CF" w:rsidRPr="00057CAF" w:rsidRDefault="009716CF" w:rsidP="009716CF">
      <w:pPr>
        <w:spacing w:after="160"/>
        <w:jc w:val="left"/>
        <w:rPr>
          <w:rFonts w:eastAsiaTheme="minorHAnsi" w:cstheme="minorHAnsi"/>
          <w:szCs w:val="22"/>
          <w:lang w:val="fr-FR"/>
        </w:rPr>
      </w:pPr>
      <w:r w:rsidRPr="00057CAF">
        <w:rPr>
          <w:rFonts w:eastAsiaTheme="minorHAnsi" w:cstheme="minorHAnsi"/>
          <w:smallCaps/>
          <w:szCs w:val="22"/>
          <w:lang w:val="fr-FR"/>
        </w:rPr>
        <w:t xml:space="preserve">Laudelout, A., </w:t>
      </w:r>
      <w:proofErr w:type="spellStart"/>
      <w:r w:rsidRPr="00057CAF">
        <w:rPr>
          <w:rFonts w:eastAsiaTheme="minorHAnsi" w:cstheme="minorHAnsi"/>
          <w:smallCaps/>
          <w:szCs w:val="22"/>
          <w:lang w:val="fr-FR"/>
        </w:rPr>
        <w:t>Goulem</w:t>
      </w:r>
      <w:proofErr w:type="spellEnd"/>
      <w:r w:rsidRPr="00057CAF">
        <w:rPr>
          <w:rFonts w:eastAsiaTheme="minorHAnsi" w:cstheme="minorHAnsi"/>
          <w:smallCaps/>
          <w:szCs w:val="22"/>
          <w:lang w:val="fr-FR"/>
        </w:rPr>
        <w:t>, N., Reuter, G., Walot, T. &amp; J.Y. Paquet.</w:t>
      </w:r>
      <w:r w:rsidRPr="00057CAF">
        <w:rPr>
          <w:rFonts w:eastAsiaTheme="minorHAnsi" w:cstheme="minorHAnsi"/>
          <w:szCs w:val="22"/>
          <w:lang w:val="fr-FR"/>
        </w:rPr>
        <w:t xml:space="preserve"> 2018. Evaluation et appui méthodologique dans le cadre de la politique agricole commune et particulièrement des méthodes agro-environnementales, rapport final de subvention, Natagora et SPW – DGARNE – DOG3, Namur.</w:t>
      </w:r>
    </w:p>
    <w:p w:rsidR="008C68D7" w:rsidRPr="00057CAF" w:rsidRDefault="008C68D7" w:rsidP="009716CF">
      <w:pPr>
        <w:spacing w:after="160"/>
        <w:jc w:val="left"/>
        <w:rPr>
          <w:rFonts w:eastAsiaTheme="minorHAnsi" w:cstheme="minorHAnsi"/>
          <w:szCs w:val="22"/>
          <w:lang w:val="fr-FR"/>
        </w:rPr>
      </w:pPr>
      <w:r w:rsidRPr="008C68D7">
        <w:rPr>
          <w:rFonts w:eastAsia="Times" w:cs="Arial"/>
          <w:bCs/>
          <w:smallCaps/>
          <w:lang w:val="fr-FR"/>
        </w:rPr>
        <w:lastRenderedPageBreak/>
        <w:t>Laudelout, A., Reuter, G., &amp; Paquet,</w:t>
      </w:r>
      <w:r>
        <w:rPr>
          <w:rFonts w:eastAsia="Times" w:cs="Arial"/>
          <w:bCs/>
          <w:lang w:val="fr-FR"/>
        </w:rPr>
        <w:t xml:space="preserve"> J-Y. 2019. </w:t>
      </w:r>
      <w:r w:rsidRPr="00D74FD5">
        <w:rPr>
          <w:rFonts w:eastAsia="Times" w:cs="Arial"/>
          <w:bCs/>
          <w:lang w:val="fr-FR"/>
        </w:rPr>
        <w:t xml:space="preserve">Évaluation et appui ornithologique dans le cadre de la </w:t>
      </w:r>
      <w:r>
        <w:rPr>
          <w:rFonts w:eastAsia="Times" w:cs="Arial"/>
          <w:bCs/>
          <w:lang w:val="fr-FR"/>
        </w:rPr>
        <w:t>PAC, rapport intermédiaire avril 2019, Natagora et SPW – DGARNE – DOG3, Namur.</w:t>
      </w:r>
    </w:p>
    <w:p w:rsidR="009716CF" w:rsidRPr="00146DB7" w:rsidRDefault="009716CF" w:rsidP="009716CF">
      <w:pPr>
        <w:spacing w:after="160"/>
        <w:jc w:val="left"/>
        <w:rPr>
          <w:rFonts w:eastAsiaTheme="minorHAnsi" w:cstheme="minorHAnsi"/>
          <w:szCs w:val="22"/>
          <w:lang w:val="de-AT"/>
        </w:rPr>
      </w:pPr>
      <w:proofErr w:type="spellStart"/>
      <w:r w:rsidRPr="00146DB7">
        <w:rPr>
          <w:rFonts w:eastAsiaTheme="minorHAnsi" w:cstheme="minorHAnsi"/>
          <w:smallCaps/>
          <w:szCs w:val="22"/>
          <w:lang w:val="de-AT"/>
        </w:rPr>
        <w:t>Leppmann</w:t>
      </w:r>
      <w:proofErr w:type="spellEnd"/>
      <w:r w:rsidRPr="00146DB7">
        <w:rPr>
          <w:rFonts w:eastAsiaTheme="minorHAnsi" w:cstheme="minorHAnsi"/>
          <w:smallCaps/>
          <w:szCs w:val="22"/>
          <w:lang w:val="de-AT"/>
        </w:rPr>
        <w:t>, A., Hofmann, J., Garbe B.I &amp; B.J. Mück</w:t>
      </w:r>
      <w:r w:rsidRPr="00146DB7">
        <w:rPr>
          <w:rFonts w:eastAsiaTheme="minorHAnsi" w:cstheme="minorHAnsi"/>
          <w:szCs w:val="22"/>
          <w:lang w:val="de-AT"/>
        </w:rPr>
        <w:t>. 2012. Schwarzwildbewirtschaftung in der Agrarlandschaft – Probleme und Maßnahmen. Deutscher Jagdschutzverband e.V., Berlin.</w:t>
      </w:r>
    </w:p>
    <w:p w:rsidR="009716CF" w:rsidRPr="00057CAF" w:rsidRDefault="009716CF" w:rsidP="009716CF">
      <w:pPr>
        <w:spacing w:after="160"/>
        <w:jc w:val="left"/>
        <w:rPr>
          <w:rFonts w:eastAsiaTheme="minorHAnsi" w:cstheme="minorHAnsi"/>
          <w:szCs w:val="22"/>
          <w:lang w:val="fr-FR"/>
        </w:rPr>
      </w:pPr>
      <w:proofErr w:type="spellStart"/>
      <w:r w:rsidRPr="00146DB7">
        <w:rPr>
          <w:rFonts w:eastAsiaTheme="minorHAnsi" w:cstheme="minorHAnsi"/>
          <w:smallCaps/>
          <w:szCs w:val="22"/>
          <w:lang w:val="de-AT"/>
        </w:rPr>
        <w:t>Nicolardot</w:t>
      </w:r>
      <w:proofErr w:type="spellEnd"/>
      <w:r w:rsidRPr="00146DB7">
        <w:rPr>
          <w:rFonts w:eastAsiaTheme="minorHAnsi" w:cstheme="minorHAnsi"/>
          <w:smallCaps/>
          <w:szCs w:val="22"/>
          <w:lang w:val="de-AT"/>
        </w:rPr>
        <w:t xml:space="preserve"> B. &amp; J.C. </w:t>
      </w:r>
      <w:proofErr w:type="spellStart"/>
      <w:r w:rsidRPr="00146DB7">
        <w:rPr>
          <w:rFonts w:eastAsiaTheme="minorHAnsi" w:cstheme="minorHAnsi"/>
          <w:smallCaps/>
          <w:szCs w:val="22"/>
          <w:lang w:val="de-AT"/>
        </w:rPr>
        <w:t>Germon</w:t>
      </w:r>
      <w:proofErr w:type="spellEnd"/>
      <w:r w:rsidRPr="00146DB7">
        <w:rPr>
          <w:rFonts w:eastAsiaTheme="minorHAnsi" w:cstheme="minorHAnsi"/>
          <w:szCs w:val="22"/>
          <w:lang w:val="de-AT"/>
        </w:rPr>
        <w:t xml:space="preserve">. </w:t>
      </w:r>
      <w:r w:rsidRPr="00403050">
        <w:rPr>
          <w:rFonts w:eastAsiaTheme="minorHAnsi" w:cstheme="minorHAnsi"/>
          <w:szCs w:val="22"/>
          <w:lang w:val="de-AT"/>
        </w:rPr>
        <w:t xml:space="preserve">2008. </w:t>
      </w:r>
      <w:r w:rsidRPr="00057CAF">
        <w:rPr>
          <w:rFonts w:eastAsiaTheme="minorHAnsi" w:cstheme="minorHAnsi"/>
          <w:szCs w:val="22"/>
          <w:lang w:val="fr-FR"/>
        </w:rPr>
        <w:t>Emissions de méthane (CH4) et d’oxydes d’azote (N2O et NOx) par les sols cultivés. Etude et Gestion des Sols 15(3) : 171-182.</w:t>
      </w:r>
    </w:p>
    <w:p w:rsidR="009716CF" w:rsidRPr="00057CAF" w:rsidRDefault="009716CF" w:rsidP="009716CF">
      <w:pPr>
        <w:spacing w:after="160"/>
        <w:rPr>
          <w:rFonts w:eastAsiaTheme="minorHAnsi" w:cstheme="minorBidi"/>
          <w:szCs w:val="22"/>
          <w:lang w:val="fr-FR"/>
        </w:rPr>
      </w:pPr>
      <w:r w:rsidRPr="00057CAF">
        <w:rPr>
          <w:rFonts w:eastAsiaTheme="minorHAnsi" w:cstheme="minorBidi"/>
          <w:smallCaps/>
          <w:szCs w:val="22"/>
          <w:lang w:val="fr-FR"/>
        </w:rPr>
        <w:t xml:space="preserve">Paquet, J-Y., </w:t>
      </w:r>
      <w:proofErr w:type="spellStart"/>
      <w:r w:rsidRPr="00057CAF">
        <w:rPr>
          <w:rFonts w:eastAsiaTheme="minorHAnsi" w:cstheme="minorBidi"/>
          <w:smallCaps/>
          <w:szCs w:val="22"/>
          <w:lang w:val="fr-FR"/>
        </w:rPr>
        <w:t>Derouaux</w:t>
      </w:r>
      <w:proofErr w:type="spellEnd"/>
      <w:r w:rsidRPr="00057CAF">
        <w:rPr>
          <w:rFonts w:eastAsiaTheme="minorHAnsi" w:cstheme="minorBidi"/>
          <w:smallCaps/>
          <w:szCs w:val="22"/>
          <w:lang w:val="fr-FR"/>
        </w:rPr>
        <w:t>, A. &amp; J.-P. Jacob</w:t>
      </w:r>
      <w:r w:rsidRPr="00057CAF">
        <w:rPr>
          <w:rFonts w:eastAsiaTheme="minorHAnsi" w:cstheme="minorBidi"/>
          <w:szCs w:val="22"/>
          <w:lang w:val="fr-FR"/>
        </w:rPr>
        <w:t>. 2014. L’évaluation de l’impact des Méthodes Agroenvironnementales sur l’avifaune en Wallonie à l’aide d’un indicateur de type</w:t>
      </w:r>
      <w:proofErr w:type="gramStart"/>
      <w:r w:rsidRPr="00057CAF">
        <w:rPr>
          <w:rFonts w:eastAsiaTheme="minorHAnsi" w:cstheme="minorBidi"/>
          <w:szCs w:val="22"/>
          <w:lang w:val="fr-FR"/>
        </w:rPr>
        <w:t xml:space="preserve"> «</w:t>
      </w:r>
      <w:proofErr w:type="spellStart"/>
      <w:r w:rsidRPr="00057CAF">
        <w:rPr>
          <w:rFonts w:eastAsiaTheme="minorHAnsi" w:cstheme="minorBidi"/>
          <w:szCs w:val="22"/>
          <w:lang w:val="fr-FR"/>
        </w:rPr>
        <w:t>Farmland</w:t>
      </w:r>
      <w:proofErr w:type="spellEnd"/>
      <w:proofErr w:type="gramEnd"/>
      <w:r w:rsidRPr="00057CAF">
        <w:rPr>
          <w:rFonts w:eastAsiaTheme="minorHAnsi" w:cstheme="minorBidi"/>
          <w:szCs w:val="22"/>
          <w:lang w:val="fr-FR"/>
        </w:rPr>
        <w:t xml:space="preserve"> Bird Index ». Projet de rapport final.</w:t>
      </w:r>
    </w:p>
    <w:p w:rsidR="009716CF" w:rsidRPr="00057CAF" w:rsidRDefault="009716CF" w:rsidP="009716CF">
      <w:pPr>
        <w:spacing w:after="160"/>
        <w:rPr>
          <w:rFonts w:eastAsiaTheme="minorHAnsi" w:cstheme="minorBidi"/>
          <w:szCs w:val="22"/>
          <w:lang w:val="fr-FR"/>
        </w:rPr>
      </w:pPr>
      <w:r w:rsidRPr="00057CAF">
        <w:rPr>
          <w:rFonts w:eastAsiaTheme="minorHAnsi" w:cstheme="minorBidi"/>
          <w:szCs w:val="22"/>
          <w:lang w:val="fr-FR"/>
        </w:rPr>
        <w:t>P</w:t>
      </w:r>
      <w:r w:rsidRPr="00057CAF">
        <w:rPr>
          <w:rFonts w:eastAsiaTheme="minorHAnsi" w:cstheme="minorBidi"/>
          <w:smallCaps/>
          <w:szCs w:val="22"/>
          <w:lang w:val="fr-FR"/>
        </w:rPr>
        <w:t>aquet</w:t>
      </w:r>
      <w:r w:rsidRPr="00057CAF">
        <w:rPr>
          <w:rFonts w:eastAsiaTheme="minorHAnsi" w:cstheme="minorBidi"/>
          <w:szCs w:val="22"/>
          <w:lang w:val="fr-FR"/>
        </w:rPr>
        <w:t xml:space="preserve">, J.-Y., T. </w:t>
      </w:r>
      <w:r w:rsidRPr="00057CAF">
        <w:rPr>
          <w:rFonts w:eastAsiaTheme="minorHAnsi" w:cstheme="minorBidi"/>
          <w:smallCaps/>
          <w:szCs w:val="22"/>
          <w:lang w:val="fr-FR"/>
        </w:rPr>
        <w:t>Walot</w:t>
      </w:r>
      <w:r w:rsidRPr="00057CAF">
        <w:rPr>
          <w:rFonts w:eastAsiaTheme="minorHAnsi" w:cstheme="minorBidi"/>
          <w:szCs w:val="22"/>
          <w:lang w:val="fr-FR"/>
        </w:rPr>
        <w:t xml:space="preserve"> &amp; </w:t>
      </w:r>
      <w:r w:rsidRPr="00057CAF">
        <w:rPr>
          <w:rFonts w:eastAsiaTheme="minorHAnsi" w:cstheme="minorBidi"/>
          <w:smallCaps/>
          <w:szCs w:val="22"/>
          <w:lang w:val="fr-FR"/>
        </w:rPr>
        <w:t>A. Laudelout</w:t>
      </w:r>
      <w:r w:rsidRPr="00057CAF">
        <w:rPr>
          <w:rFonts w:eastAsiaTheme="minorHAnsi" w:cstheme="minorBidi"/>
          <w:szCs w:val="22"/>
          <w:lang w:val="fr-FR"/>
        </w:rPr>
        <w:t xml:space="preserve">. 2016. Actions coordonnées en faveur des oiseaux des champs dans la plaine agricole de Perwez. Le Bruant Wallon 33 : 24-27 </w:t>
      </w:r>
    </w:p>
    <w:p w:rsidR="009716CF" w:rsidRPr="00057CAF" w:rsidRDefault="009716CF" w:rsidP="009716CF">
      <w:pPr>
        <w:spacing w:after="160"/>
        <w:rPr>
          <w:rFonts w:eastAsiaTheme="minorHAnsi" w:cstheme="minorHAnsi"/>
          <w:szCs w:val="22"/>
          <w:lang w:val="fr-FR"/>
        </w:rPr>
      </w:pPr>
      <w:r w:rsidRPr="00057CAF">
        <w:rPr>
          <w:rFonts w:eastAsiaTheme="minorHAnsi" w:cstheme="minorHAnsi"/>
          <w:smallCaps/>
          <w:szCs w:val="22"/>
          <w:lang w:val="fr-FR"/>
        </w:rPr>
        <w:t xml:space="preserve">Peyraud, J.-L., P. Cellier, C. </w:t>
      </w:r>
      <w:proofErr w:type="spellStart"/>
      <w:r w:rsidRPr="00057CAF">
        <w:rPr>
          <w:rFonts w:eastAsiaTheme="minorHAnsi" w:cstheme="minorHAnsi"/>
          <w:smallCaps/>
          <w:szCs w:val="22"/>
          <w:lang w:val="fr-FR"/>
        </w:rPr>
        <w:t>Donnars</w:t>
      </w:r>
      <w:proofErr w:type="spellEnd"/>
      <w:r w:rsidRPr="00057CAF">
        <w:rPr>
          <w:rFonts w:eastAsiaTheme="minorHAnsi" w:cstheme="minorHAnsi"/>
          <w:smallCaps/>
          <w:szCs w:val="22"/>
          <w:lang w:val="fr-FR"/>
        </w:rPr>
        <w:t xml:space="preserve"> &amp; O. </w:t>
      </w:r>
      <w:proofErr w:type="spellStart"/>
      <w:r w:rsidRPr="00057CAF">
        <w:rPr>
          <w:rFonts w:eastAsiaTheme="minorHAnsi" w:cstheme="minorHAnsi"/>
          <w:smallCaps/>
          <w:szCs w:val="22"/>
          <w:lang w:val="fr-FR"/>
        </w:rPr>
        <w:t>Réchauchère</w:t>
      </w:r>
      <w:proofErr w:type="spellEnd"/>
      <w:r w:rsidRPr="00057CAF">
        <w:rPr>
          <w:rFonts w:eastAsiaTheme="minorHAnsi" w:cstheme="minorHAnsi"/>
          <w:szCs w:val="22"/>
          <w:lang w:val="fr-FR"/>
        </w:rPr>
        <w:t xml:space="preserve"> (éditeurs), 2012. Les flux d’azote liés aux élevages, réduire les pertes, rétablir les équilibres. Expertise scientifique collective, synthèse du rapport, INRA (France), 68 p.</w:t>
      </w:r>
    </w:p>
    <w:p w:rsidR="009716CF" w:rsidRPr="00E9242B" w:rsidRDefault="009716CF" w:rsidP="009716CF">
      <w:pPr>
        <w:spacing w:after="160" w:line="259" w:lineRule="auto"/>
        <w:rPr>
          <w:rFonts w:eastAsiaTheme="minorHAnsi" w:cstheme="minorBidi"/>
          <w:szCs w:val="22"/>
          <w:lang w:val="fr-BE"/>
        </w:rPr>
      </w:pPr>
      <w:proofErr w:type="spellStart"/>
      <w:r w:rsidRPr="00057CAF">
        <w:rPr>
          <w:rFonts w:eastAsiaTheme="minorHAnsi" w:cstheme="minorBidi"/>
          <w:smallCaps/>
          <w:szCs w:val="22"/>
          <w:lang w:val="fr-FR"/>
        </w:rPr>
        <w:t>Picqueray</w:t>
      </w:r>
      <w:proofErr w:type="spellEnd"/>
      <w:r w:rsidRPr="00057CAF">
        <w:rPr>
          <w:rFonts w:eastAsiaTheme="minorHAnsi" w:cstheme="minorBidi"/>
          <w:smallCaps/>
          <w:szCs w:val="22"/>
          <w:lang w:val="fr-FR"/>
        </w:rPr>
        <w:t xml:space="preserve">, J., </w:t>
      </w:r>
      <w:proofErr w:type="spellStart"/>
      <w:r w:rsidRPr="00057CAF">
        <w:rPr>
          <w:rFonts w:eastAsiaTheme="minorHAnsi" w:cstheme="minorBidi"/>
          <w:smallCaps/>
          <w:szCs w:val="22"/>
          <w:lang w:val="fr-FR"/>
        </w:rPr>
        <w:t>Gilliaux</w:t>
      </w:r>
      <w:proofErr w:type="spellEnd"/>
      <w:r w:rsidRPr="00057CAF">
        <w:rPr>
          <w:rFonts w:eastAsiaTheme="minorHAnsi" w:cstheme="minorBidi"/>
          <w:smallCaps/>
          <w:szCs w:val="22"/>
          <w:lang w:val="fr-FR"/>
        </w:rPr>
        <w:t>, G</w:t>
      </w:r>
      <w:r w:rsidRPr="00057CAF">
        <w:rPr>
          <w:rFonts w:eastAsiaTheme="minorHAnsi" w:cstheme="minorBidi"/>
          <w:szCs w:val="22"/>
          <w:lang w:val="fr-FR"/>
        </w:rPr>
        <w:t xml:space="preserve">. &amp; G. </w:t>
      </w:r>
      <w:proofErr w:type="spellStart"/>
      <w:r w:rsidRPr="00057CAF">
        <w:rPr>
          <w:rFonts w:eastAsiaTheme="minorHAnsi" w:cstheme="minorBidi"/>
          <w:smallCaps/>
          <w:szCs w:val="22"/>
          <w:lang w:val="fr-FR"/>
        </w:rPr>
        <w:t>Mahy</w:t>
      </w:r>
      <w:proofErr w:type="spellEnd"/>
      <w:r w:rsidRPr="00057CAF">
        <w:rPr>
          <w:rFonts w:eastAsiaTheme="minorHAnsi" w:cstheme="minorBidi"/>
          <w:szCs w:val="22"/>
          <w:lang w:val="fr-FR"/>
        </w:rPr>
        <w:t xml:space="preserve">. 2012. La conservation des messicoles dans le cadre du programme agroenvironnemental wallon. </w:t>
      </w:r>
      <w:r w:rsidRPr="00E9242B">
        <w:rPr>
          <w:rFonts w:eastAsiaTheme="minorHAnsi" w:cstheme="minorBidi"/>
          <w:szCs w:val="22"/>
          <w:lang w:val="fr-BE"/>
        </w:rPr>
        <w:t>Parcs et Réserves 67 (2-3) : 18-22</w:t>
      </w:r>
    </w:p>
    <w:p w:rsidR="009716CF" w:rsidRPr="00146DB7" w:rsidRDefault="009716CF" w:rsidP="009716CF">
      <w:pPr>
        <w:spacing w:after="160"/>
        <w:rPr>
          <w:rFonts w:eastAsiaTheme="minorHAnsi" w:cstheme="minorBidi"/>
          <w:szCs w:val="22"/>
          <w:lang w:val="en-US"/>
        </w:rPr>
      </w:pPr>
      <w:proofErr w:type="spellStart"/>
      <w:r w:rsidRPr="00146DB7">
        <w:rPr>
          <w:rFonts w:eastAsiaTheme="minorHAnsi" w:cstheme="minorHAnsi"/>
          <w:smallCaps/>
          <w:color w:val="000000"/>
          <w:szCs w:val="22"/>
          <w:lang w:val="en-US"/>
        </w:rPr>
        <w:t>Picqueray</w:t>
      </w:r>
      <w:proofErr w:type="spellEnd"/>
      <w:r w:rsidRPr="00146DB7">
        <w:rPr>
          <w:rFonts w:eastAsiaTheme="minorHAnsi" w:cstheme="minorHAnsi"/>
          <w:smallCaps/>
          <w:color w:val="000000"/>
          <w:szCs w:val="22"/>
          <w:lang w:val="en-US"/>
        </w:rPr>
        <w:t>, J.</w:t>
      </w:r>
      <w:r w:rsidRPr="00146DB7">
        <w:rPr>
          <w:rFonts w:eastAsiaTheme="minorHAnsi" w:cstheme="minorHAnsi"/>
          <w:color w:val="000000"/>
          <w:szCs w:val="22"/>
          <w:lang w:val="en-US"/>
        </w:rPr>
        <w:t xml:space="preserve"> 2017. </w:t>
      </w:r>
      <w:r w:rsidRPr="00146DB7">
        <w:rPr>
          <w:rFonts w:eastAsiaTheme="minorHAnsi" w:cstheme="minorBidi"/>
          <w:szCs w:val="22"/>
          <w:lang w:val="en-US"/>
        </w:rPr>
        <w:t xml:space="preserve">Monitoring of </w:t>
      </w:r>
      <w:proofErr w:type="spellStart"/>
      <w:r w:rsidRPr="00146DB7">
        <w:rPr>
          <w:rFonts w:eastAsiaTheme="minorHAnsi" w:cstheme="minorBidi"/>
          <w:szCs w:val="22"/>
          <w:lang w:val="en-US"/>
        </w:rPr>
        <w:t>agroenvironmental</w:t>
      </w:r>
      <w:proofErr w:type="spellEnd"/>
      <w:r w:rsidRPr="00146DB7">
        <w:rPr>
          <w:rFonts w:eastAsiaTheme="minorHAnsi" w:cstheme="minorBidi"/>
          <w:szCs w:val="22"/>
          <w:lang w:val="en-US"/>
        </w:rPr>
        <w:t xml:space="preserve"> scheme in Wallonia. Data management and sharing. BID-REX workshop, Bilbao, Basque Country</w:t>
      </w:r>
      <w:r w:rsidRPr="00146DB7">
        <w:rPr>
          <w:rFonts w:eastAsiaTheme="minorHAnsi" w:cstheme="minorBidi"/>
          <w:szCs w:val="22"/>
          <w:vertAlign w:val="superscript"/>
          <w:lang w:val="en-US"/>
        </w:rPr>
        <w:footnoteReference w:id="14"/>
      </w:r>
      <w:r w:rsidRPr="00146DB7">
        <w:rPr>
          <w:rFonts w:eastAsiaTheme="minorHAnsi" w:cstheme="minorBidi"/>
          <w:szCs w:val="22"/>
          <w:lang w:val="en-US"/>
        </w:rPr>
        <w:t>.</w:t>
      </w:r>
    </w:p>
    <w:p w:rsidR="009716CF" w:rsidRPr="00057CAF" w:rsidRDefault="004D17D9" w:rsidP="009716CF">
      <w:pPr>
        <w:spacing w:after="160"/>
        <w:jc w:val="left"/>
        <w:rPr>
          <w:rFonts w:eastAsiaTheme="minorHAnsi" w:cstheme="minorHAnsi"/>
          <w:szCs w:val="22"/>
          <w:lang w:val="fr-FR"/>
        </w:rPr>
      </w:pPr>
      <w:proofErr w:type="spellStart"/>
      <w:r w:rsidRPr="00544A2A">
        <w:rPr>
          <w:rFonts w:eastAsiaTheme="minorHAnsi" w:cstheme="minorHAnsi"/>
          <w:smallCaps/>
          <w:szCs w:val="22"/>
          <w:lang w:val="fr-FR"/>
        </w:rPr>
        <w:t>Pussemier</w:t>
      </w:r>
      <w:proofErr w:type="spellEnd"/>
      <w:r w:rsidRPr="00544A2A">
        <w:rPr>
          <w:rFonts w:eastAsiaTheme="minorHAnsi" w:cstheme="minorHAnsi"/>
          <w:smallCaps/>
          <w:szCs w:val="22"/>
          <w:lang w:val="fr-FR"/>
        </w:rPr>
        <w:t xml:space="preserve">, L. &amp; L. </w:t>
      </w:r>
      <w:proofErr w:type="spellStart"/>
      <w:r w:rsidRPr="00544A2A">
        <w:rPr>
          <w:rFonts w:eastAsiaTheme="minorHAnsi" w:cstheme="minorHAnsi"/>
          <w:smallCaps/>
          <w:szCs w:val="22"/>
          <w:lang w:val="fr-FR"/>
        </w:rPr>
        <w:t>Goeyens</w:t>
      </w:r>
      <w:proofErr w:type="spellEnd"/>
      <w:r w:rsidRPr="00544A2A">
        <w:rPr>
          <w:rFonts w:eastAsiaTheme="minorHAnsi" w:cstheme="minorHAnsi"/>
          <w:szCs w:val="22"/>
          <w:lang w:val="fr-FR"/>
        </w:rPr>
        <w:t xml:space="preserve">. </w:t>
      </w:r>
      <w:r w:rsidR="009716CF" w:rsidRPr="00057CAF">
        <w:rPr>
          <w:rFonts w:eastAsiaTheme="minorHAnsi" w:cstheme="minorHAnsi"/>
          <w:szCs w:val="22"/>
          <w:lang w:val="fr-FR"/>
        </w:rPr>
        <w:t>2017. Agricultures &amp; enjeux de société. Presses universitaires de Liège – agronomie Gembloux.</w:t>
      </w:r>
    </w:p>
    <w:p w:rsidR="009716CF" w:rsidRPr="00057CAF" w:rsidRDefault="009716CF" w:rsidP="009716CF">
      <w:pPr>
        <w:spacing w:after="160"/>
        <w:rPr>
          <w:rFonts w:eastAsiaTheme="minorHAnsi" w:cstheme="minorHAnsi"/>
          <w:szCs w:val="22"/>
          <w:lang w:val="fr-FR"/>
        </w:rPr>
      </w:pPr>
      <w:r w:rsidRPr="00057CAF">
        <w:rPr>
          <w:rFonts w:eastAsiaTheme="minorHAnsi" w:cstheme="minorHAnsi"/>
          <w:smallCaps/>
          <w:szCs w:val="22"/>
          <w:lang w:val="fr-FR"/>
        </w:rPr>
        <w:t>Reuter, G., Jacob, J.-P. &amp; J.-Y. Paquet.</w:t>
      </w:r>
      <w:r w:rsidRPr="00057CAF">
        <w:rPr>
          <w:rFonts w:eastAsiaTheme="minorHAnsi" w:cstheme="minorHAnsi"/>
          <w:szCs w:val="22"/>
          <w:lang w:val="fr-FR"/>
        </w:rPr>
        <w:t xml:space="preserve"> 2014. Avifaune et Méthodes </w:t>
      </w:r>
      <w:proofErr w:type="gramStart"/>
      <w:r w:rsidRPr="00057CAF">
        <w:rPr>
          <w:rFonts w:eastAsiaTheme="minorHAnsi" w:cstheme="minorHAnsi"/>
          <w:szCs w:val="22"/>
          <w:lang w:val="fr-FR"/>
        </w:rPr>
        <w:t>agroenvironnementales:</w:t>
      </w:r>
      <w:proofErr w:type="gramEnd"/>
      <w:r w:rsidRPr="00057CAF">
        <w:rPr>
          <w:rFonts w:eastAsiaTheme="minorHAnsi" w:cstheme="minorHAnsi"/>
          <w:szCs w:val="22"/>
          <w:lang w:val="fr-FR"/>
        </w:rPr>
        <w:t xml:space="preserve"> mise en </w:t>
      </w:r>
      <w:proofErr w:type="spellStart"/>
      <w:r w:rsidRPr="00057CAF">
        <w:rPr>
          <w:rFonts w:eastAsiaTheme="minorHAnsi" w:cstheme="minorHAnsi"/>
          <w:szCs w:val="22"/>
          <w:lang w:val="fr-FR"/>
        </w:rPr>
        <w:t>oeuvre</w:t>
      </w:r>
      <w:proofErr w:type="spellEnd"/>
      <w:r w:rsidRPr="00057CAF">
        <w:rPr>
          <w:rFonts w:eastAsiaTheme="minorHAnsi" w:cstheme="minorHAnsi"/>
          <w:szCs w:val="22"/>
          <w:lang w:val="fr-FR"/>
        </w:rPr>
        <w:t xml:space="preserve"> d’actions spécifiques pour la sauvegarde du </w:t>
      </w:r>
      <w:proofErr w:type="spellStart"/>
      <w:r w:rsidRPr="00057CAF">
        <w:rPr>
          <w:rFonts w:eastAsiaTheme="minorHAnsi" w:cstheme="minorHAnsi"/>
          <w:szCs w:val="22"/>
          <w:lang w:val="fr-FR"/>
        </w:rPr>
        <w:t>Tarier</w:t>
      </w:r>
      <w:proofErr w:type="spellEnd"/>
      <w:r w:rsidRPr="00057CAF">
        <w:rPr>
          <w:rFonts w:eastAsiaTheme="minorHAnsi" w:cstheme="minorHAnsi"/>
          <w:szCs w:val="22"/>
          <w:lang w:val="fr-FR"/>
        </w:rPr>
        <w:t xml:space="preserve"> des prés (</w:t>
      </w:r>
      <w:proofErr w:type="spellStart"/>
      <w:r w:rsidRPr="00057CAF">
        <w:rPr>
          <w:rFonts w:eastAsiaTheme="minorHAnsi" w:cstheme="minorHAnsi"/>
          <w:szCs w:val="22"/>
          <w:lang w:val="fr-FR"/>
        </w:rPr>
        <w:t>Saxicola</w:t>
      </w:r>
      <w:proofErr w:type="spellEnd"/>
      <w:r w:rsidRPr="00057CAF">
        <w:rPr>
          <w:rFonts w:eastAsiaTheme="minorHAnsi" w:cstheme="minorHAnsi"/>
          <w:szCs w:val="22"/>
          <w:lang w:val="fr-FR"/>
        </w:rPr>
        <w:t xml:space="preserve"> </w:t>
      </w:r>
      <w:proofErr w:type="spellStart"/>
      <w:r w:rsidRPr="00057CAF">
        <w:rPr>
          <w:rFonts w:eastAsiaTheme="minorHAnsi" w:cstheme="minorHAnsi"/>
          <w:szCs w:val="22"/>
          <w:lang w:val="fr-FR"/>
        </w:rPr>
        <w:t>rubetra</w:t>
      </w:r>
      <w:proofErr w:type="spellEnd"/>
      <w:r w:rsidRPr="00057CAF">
        <w:rPr>
          <w:rFonts w:eastAsiaTheme="minorHAnsi" w:cstheme="minorHAnsi"/>
          <w:szCs w:val="22"/>
          <w:lang w:val="fr-FR"/>
        </w:rPr>
        <w:t>). Aves, Projet de rapport final.</w:t>
      </w:r>
    </w:p>
    <w:p w:rsidR="009716CF" w:rsidRPr="00146DB7" w:rsidRDefault="009716CF" w:rsidP="009716CF">
      <w:pPr>
        <w:spacing w:after="160"/>
        <w:rPr>
          <w:rFonts w:eastAsiaTheme="minorHAnsi" w:cstheme="minorHAnsi"/>
          <w:szCs w:val="22"/>
          <w:lang w:val="en-US"/>
        </w:rPr>
      </w:pPr>
      <w:proofErr w:type="spellStart"/>
      <w:r w:rsidRPr="00057CAF">
        <w:rPr>
          <w:rFonts w:eastAsiaTheme="minorHAnsi" w:cstheme="minorHAnsi"/>
          <w:smallCaps/>
          <w:szCs w:val="22"/>
          <w:lang w:val="fr-FR"/>
        </w:rPr>
        <w:t>Riera</w:t>
      </w:r>
      <w:proofErr w:type="spellEnd"/>
      <w:r w:rsidRPr="00057CAF">
        <w:rPr>
          <w:rFonts w:eastAsiaTheme="minorHAnsi" w:cstheme="minorHAnsi"/>
          <w:smallCaps/>
          <w:szCs w:val="22"/>
          <w:lang w:val="fr-FR"/>
        </w:rPr>
        <w:t>, A., Antier, C. &amp; P. Baret</w:t>
      </w:r>
      <w:r w:rsidRPr="00057CAF">
        <w:rPr>
          <w:rFonts w:eastAsiaTheme="minorHAnsi" w:cstheme="minorHAnsi"/>
          <w:szCs w:val="22"/>
          <w:lang w:val="fr-FR"/>
        </w:rPr>
        <w:t xml:space="preserve">. </w:t>
      </w:r>
      <w:r w:rsidRPr="00146DB7">
        <w:rPr>
          <w:rFonts w:eastAsiaTheme="minorHAnsi" w:cstheme="minorHAnsi"/>
          <w:szCs w:val="22"/>
          <w:lang w:val="en-US"/>
        </w:rPr>
        <w:t xml:space="preserve">2018. Study on livestock scenarios for Belgium 2050. </w:t>
      </w:r>
      <w:proofErr w:type="spellStart"/>
      <w:r w:rsidRPr="00146DB7">
        <w:rPr>
          <w:rFonts w:eastAsiaTheme="minorHAnsi" w:cstheme="minorHAnsi"/>
          <w:szCs w:val="22"/>
          <w:lang w:val="en-US"/>
        </w:rPr>
        <w:t>UCLouvain</w:t>
      </w:r>
      <w:proofErr w:type="spellEnd"/>
      <w:r w:rsidRPr="00146DB7">
        <w:rPr>
          <w:rFonts w:eastAsiaTheme="minorHAnsi" w:cstheme="minorHAnsi"/>
          <w:szCs w:val="22"/>
          <w:lang w:val="en-US"/>
        </w:rPr>
        <w:t>. Rapport à Greenpeace.</w:t>
      </w:r>
    </w:p>
    <w:p w:rsidR="009716CF" w:rsidRPr="00057CAF" w:rsidRDefault="00E9242B" w:rsidP="009716CF">
      <w:pPr>
        <w:spacing w:after="160"/>
        <w:rPr>
          <w:rFonts w:eastAsiaTheme="minorHAnsi" w:cstheme="minorHAnsi"/>
          <w:szCs w:val="22"/>
          <w:lang w:val="fr-FR"/>
        </w:rPr>
      </w:pPr>
      <w:hyperlink r:id="rId49" w:history="1">
        <w:proofErr w:type="spellStart"/>
        <w:r w:rsidR="009716CF" w:rsidRPr="00146DB7">
          <w:rPr>
            <w:rFonts w:eastAsiaTheme="minorHAnsi" w:cstheme="minorHAnsi"/>
            <w:smallCaps/>
            <w:szCs w:val="22"/>
            <w:u w:val="single"/>
            <w:lang w:val="en-US"/>
          </w:rPr>
          <w:t>Rzeźnik</w:t>
        </w:r>
        <w:proofErr w:type="spellEnd"/>
      </w:hyperlink>
      <w:r w:rsidR="009716CF" w:rsidRPr="00146DB7">
        <w:rPr>
          <w:rFonts w:eastAsiaTheme="minorHAnsi" w:cstheme="minorHAnsi"/>
          <w:smallCaps/>
          <w:szCs w:val="22"/>
          <w:lang w:val="en-US"/>
        </w:rPr>
        <w:t xml:space="preserve">, W. &amp; P. </w:t>
      </w:r>
      <w:proofErr w:type="spellStart"/>
      <w:r w:rsidR="009716CF" w:rsidRPr="00146DB7">
        <w:rPr>
          <w:rFonts w:eastAsiaTheme="minorHAnsi" w:cstheme="minorHAnsi"/>
          <w:smallCaps/>
          <w:szCs w:val="22"/>
          <w:lang w:val="en-US"/>
        </w:rPr>
        <w:t>Mielcarek</w:t>
      </w:r>
      <w:proofErr w:type="spellEnd"/>
      <w:r w:rsidR="009716CF" w:rsidRPr="00146DB7">
        <w:rPr>
          <w:rFonts w:eastAsiaTheme="minorHAnsi" w:cstheme="minorHAnsi"/>
          <w:smallCaps/>
          <w:szCs w:val="22"/>
          <w:lang w:val="en-US"/>
        </w:rPr>
        <w:t>.</w:t>
      </w:r>
      <w:r w:rsidR="009716CF" w:rsidRPr="00146DB7">
        <w:rPr>
          <w:rFonts w:eastAsiaTheme="minorHAnsi" w:cstheme="minorHAnsi"/>
          <w:szCs w:val="22"/>
          <w:lang w:val="en-US"/>
        </w:rPr>
        <w:t xml:space="preserve"> 2016. Greenhouse Gases and Ammonia Emission Factors from Livestock Buildings for Pigs and Dairy Cows.</w:t>
      </w:r>
      <w:r w:rsidR="009716CF" w:rsidRPr="00146DB7">
        <w:rPr>
          <w:rFonts w:eastAsiaTheme="minorHAnsi" w:cstheme="minorHAnsi"/>
          <w:szCs w:val="22"/>
        </w:rPr>
        <w:t> </w:t>
      </w:r>
      <w:hyperlink r:id="rId50" w:history="1">
        <w:r w:rsidR="004D17D9" w:rsidRPr="00057CAF">
          <w:rPr>
            <w:rFonts w:eastAsiaTheme="minorHAnsi" w:cstheme="minorHAnsi"/>
            <w:szCs w:val="22"/>
            <w:lang w:val="fr-FR"/>
          </w:rPr>
          <w:t xml:space="preserve">Polish Journal of </w:t>
        </w:r>
        <w:proofErr w:type="spellStart"/>
        <w:r w:rsidR="004D17D9" w:rsidRPr="00057CAF">
          <w:rPr>
            <w:rFonts w:eastAsiaTheme="minorHAnsi" w:cstheme="minorHAnsi"/>
            <w:szCs w:val="22"/>
            <w:lang w:val="fr-FR"/>
          </w:rPr>
          <w:t>Environmental</w:t>
        </w:r>
        <w:proofErr w:type="spellEnd"/>
        <w:r w:rsidR="004D17D9" w:rsidRPr="00057CAF">
          <w:rPr>
            <w:rFonts w:eastAsiaTheme="minorHAnsi" w:cstheme="minorHAnsi"/>
            <w:szCs w:val="22"/>
            <w:lang w:val="fr-FR"/>
          </w:rPr>
          <w:t xml:space="preserve"> </w:t>
        </w:r>
        <w:proofErr w:type="spellStart"/>
        <w:r w:rsidR="004D17D9" w:rsidRPr="00057CAF">
          <w:rPr>
            <w:rFonts w:eastAsiaTheme="minorHAnsi" w:cstheme="minorHAnsi"/>
            <w:szCs w:val="22"/>
            <w:lang w:val="fr-FR"/>
          </w:rPr>
          <w:t>Studies</w:t>
        </w:r>
        <w:proofErr w:type="spellEnd"/>
      </w:hyperlink>
      <w:r w:rsidR="004D17D9" w:rsidRPr="00057CAF">
        <w:rPr>
          <w:rFonts w:eastAsiaTheme="minorHAnsi" w:cstheme="minorHAnsi"/>
          <w:szCs w:val="22"/>
          <w:lang w:val="fr-FR"/>
        </w:rPr>
        <w:t xml:space="preserve"> 25(5): 1813-1821. </w:t>
      </w:r>
    </w:p>
    <w:p w:rsidR="009716CF" w:rsidRPr="00057CAF" w:rsidRDefault="009716CF" w:rsidP="009716CF">
      <w:pPr>
        <w:spacing w:after="160"/>
        <w:jc w:val="left"/>
        <w:rPr>
          <w:rFonts w:eastAsiaTheme="minorHAnsi" w:cstheme="minorHAnsi"/>
          <w:szCs w:val="22"/>
          <w:lang w:val="fr-FR"/>
        </w:rPr>
      </w:pPr>
      <w:r w:rsidRPr="00057CAF">
        <w:rPr>
          <w:rFonts w:eastAsiaTheme="minorHAnsi" w:cstheme="minorHAnsi"/>
          <w:smallCaps/>
          <w:szCs w:val="22"/>
          <w:lang w:val="fr-FR"/>
        </w:rPr>
        <w:t>Sauvant, D</w:t>
      </w:r>
      <w:r w:rsidRPr="00057CAF">
        <w:rPr>
          <w:rFonts w:eastAsiaTheme="minorHAnsi" w:cstheme="minorHAnsi"/>
          <w:szCs w:val="22"/>
          <w:lang w:val="fr-FR"/>
        </w:rPr>
        <w:t xml:space="preserve">. 1993. La production de méthane dans la </w:t>
      </w:r>
      <w:proofErr w:type="gramStart"/>
      <w:r w:rsidRPr="00057CAF">
        <w:rPr>
          <w:rFonts w:eastAsiaTheme="minorHAnsi" w:cstheme="minorHAnsi"/>
          <w:szCs w:val="22"/>
          <w:lang w:val="fr-FR"/>
        </w:rPr>
        <w:t>biosphère:</w:t>
      </w:r>
      <w:proofErr w:type="gramEnd"/>
      <w:r w:rsidRPr="00057CAF">
        <w:rPr>
          <w:rFonts w:eastAsiaTheme="minorHAnsi" w:cstheme="minorHAnsi"/>
          <w:szCs w:val="22"/>
          <w:lang w:val="fr-FR"/>
        </w:rPr>
        <w:t xml:space="preserve"> le rôle des animaux d’élevage. Courrier de la Cellule Environnement, INRA. 18 : 67-70.</w:t>
      </w:r>
    </w:p>
    <w:p w:rsidR="009716CF" w:rsidRPr="00057CAF" w:rsidRDefault="009716CF" w:rsidP="009716CF">
      <w:pPr>
        <w:spacing w:after="160" w:line="259" w:lineRule="auto"/>
        <w:rPr>
          <w:rFonts w:eastAsiaTheme="minorHAnsi" w:cstheme="minorHAnsi"/>
          <w:color w:val="000000"/>
          <w:szCs w:val="22"/>
          <w:shd w:val="clear" w:color="auto" w:fill="FFFFFF"/>
          <w:lang w:val="fr-FR"/>
        </w:rPr>
      </w:pPr>
      <w:r w:rsidRPr="00057CAF">
        <w:rPr>
          <w:rFonts w:eastAsiaTheme="minorHAnsi" w:cstheme="minorHAnsi"/>
          <w:smallCaps/>
          <w:color w:val="000000"/>
          <w:szCs w:val="22"/>
          <w:shd w:val="clear" w:color="auto" w:fill="FFFFFF"/>
          <w:lang w:val="fr-FR"/>
        </w:rPr>
        <w:t>Senn-</w:t>
      </w:r>
      <w:proofErr w:type="spellStart"/>
      <w:r w:rsidRPr="00057CAF">
        <w:rPr>
          <w:rFonts w:eastAsiaTheme="minorHAnsi" w:cstheme="minorHAnsi"/>
          <w:smallCaps/>
          <w:color w:val="000000"/>
          <w:szCs w:val="22"/>
          <w:shd w:val="clear" w:color="auto" w:fill="FFFFFF"/>
          <w:lang w:val="fr-FR"/>
        </w:rPr>
        <w:t>Irlet</w:t>
      </w:r>
      <w:proofErr w:type="spellEnd"/>
      <w:r w:rsidRPr="00057CAF">
        <w:rPr>
          <w:rFonts w:eastAsiaTheme="minorHAnsi" w:cstheme="minorHAnsi"/>
          <w:smallCaps/>
          <w:color w:val="000000"/>
          <w:szCs w:val="22"/>
          <w:shd w:val="clear" w:color="auto" w:fill="FFFFFF"/>
          <w:lang w:val="fr-FR"/>
        </w:rPr>
        <w:t xml:space="preserve">, B., </w:t>
      </w:r>
      <w:proofErr w:type="spellStart"/>
      <w:r w:rsidRPr="00057CAF">
        <w:rPr>
          <w:rFonts w:eastAsiaTheme="minorHAnsi" w:cstheme="minorHAnsi"/>
          <w:smallCaps/>
          <w:color w:val="000000"/>
          <w:szCs w:val="22"/>
          <w:shd w:val="clear" w:color="auto" w:fill="FFFFFF"/>
          <w:lang w:val="fr-FR"/>
        </w:rPr>
        <w:t>Egli</w:t>
      </w:r>
      <w:proofErr w:type="spellEnd"/>
      <w:r w:rsidRPr="00057CAF">
        <w:rPr>
          <w:rFonts w:eastAsiaTheme="minorHAnsi" w:cstheme="minorHAnsi"/>
          <w:smallCaps/>
          <w:color w:val="000000"/>
          <w:szCs w:val="22"/>
          <w:shd w:val="clear" w:color="auto" w:fill="FFFFFF"/>
          <w:lang w:val="fr-FR"/>
        </w:rPr>
        <w:t xml:space="preserve">, S., Boujon, C., </w:t>
      </w:r>
      <w:proofErr w:type="spellStart"/>
      <w:r w:rsidRPr="00057CAF">
        <w:rPr>
          <w:rFonts w:eastAsiaTheme="minorHAnsi" w:cstheme="minorHAnsi"/>
          <w:smallCaps/>
          <w:color w:val="000000"/>
          <w:szCs w:val="22"/>
          <w:shd w:val="clear" w:color="auto" w:fill="FFFFFF"/>
          <w:lang w:val="fr-FR"/>
        </w:rPr>
        <w:t>Küchler</w:t>
      </w:r>
      <w:proofErr w:type="spellEnd"/>
      <w:r w:rsidRPr="00057CAF">
        <w:rPr>
          <w:rFonts w:eastAsiaTheme="minorHAnsi" w:cstheme="minorHAnsi"/>
          <w:smallCaps/>
          <w:color w:val="000000"/>
          <w:szCs w:val="22"/>
          <w:shd w:val="clear" w:color="auto" w:fill="FFFFFF"/>
          <w:lang w:val="fr-FR"/>
        </w:rPr>
        <w:t xml:space="preserve">, H., </w:t>
      </w:r>
      <w:proofErr w:type="spellStart"/>
      <w:r w:rsidRPr="00057CAF">
        <w:rPr>
          <w:rFonts w:eastAsiaTheme="minorHAnsi" w:cstheme="minorHAnsi"/>
          <w:smallCaps/>
          <w:color w:val="000000"/>
          <w:szCs w:val="22"/>
          <w:shd w:val="clear" w:color="auto" w:fill="FFFFFF"/>
          <w:lang w:val="fr-FR"/>
        </w:rPr>
        <w:t>Küffer</w:t>
      </w:r>
      <w:proofErr w:type="spellEnd"/>
      <w:r w:rsidRPr="00057CAF">
        <w:rPr>
          <w:rFonts w:eastAsiaTheme="minorHAnsi" w:cstheme="minorHAnsi"/>
          <w:smallCaps/>
          <w:color w:val="000000"/>
          <w:szCs w:val="22"/>
          <w:shd w:val="clear" w:color="auto" w:fill="FFFFFF"/>
          <w:lang w:val="fr-FR"/>
        </w:rPr>
        <w:t>, N., Neukom, H.-P. &amp; J.-J. Roth</w:t>
      </w:r>
      <w:r w:rsidRPr="00057CAF">
        <w:rPr>
          <w:rFonts w:eastAsiaTheme="minorHAnsi" w:cstheme="minorHAnsi"/>
          <w:color w:val="000000"/>
          <w:szCs w:val="22"/>
          <w:shd w:val="clear" w:color="auto" w:fill="FFFFFF"/>
          <w:lang w:val="fr-FR"/>
        </w:rPr>
        <w:t xml:space="preserve"> (2012</w:t>
      </w:r>
      <w:proofErr w:type="gramStart"/>
      <w:r w:rsidRPr="00057CAF">
        <w:rPr>
          <w:rFonts w:eastAsiaTheme="minorHAnsi" w:cstheme="minorHAnsi"/>
          <w:color w:val="000000"/>
          <w:szCs w:val="22"/>
          <w:shd w:val="clear" w:color="auto" w:fill="FFFFFF"/>
          <w:lang w:val="fr-FR"/>
        </w:rPr>
        <w:t>):</w:t>
      </w:r>
      <w:proofErr w:type="gramEnd"/>
      <w:r w:rsidRPr="00057CAF">
        <w:rPr>
          <w:rFonts w:eastAsiaTheme="minorHAnsi" w:cstheme="minorHAnsi"/>
          <w:color w:val="000000"/>
          <w:szCs w:val="22"/>
          <w:shd w:val="clear" w:color="auto" w:fill="FFFFFF"/>
          <w:lang w:val="fr-FR"/>
        </w:rPr>
        <w:t xml:space="preserve"> Protéger et favoriser les champignons. Not. </w:t>
      </w:r>
      <w:proofErr w:type="spellStart"/>
      <w:proofErr w:type="gramStart"/>
      <w:r w:rsidRPr="00057CAF">
        <w:rPr>
          <w:rFonts w:eastAsiaTheme="minorHAnsi" w:cstheme="minorHAnsi"/>
          <w:color w:val="000000"/>
          <w:szCs w:val="22"/>
          <w:shd w:val="clear" w:color="auto" w:fill="FFFFFF"/>
          <w:lang w:val="fr-FR"/>
        </w:rPr>
        <w:t>prat</w:t>
      </w:r>
      <w:proofErr w:type="spellEnd"/>
      <w:proofErr w:type="gramEnd"/>
      <w:r w:rsidRPr="00057CAF">
        <w:rPr>
          <w:rFonts w:eastAsiaTheme="minorHAnsi" w:cstheme="minorHAnsi"/>
          <w:color w:val="000000"/>
          <w:szCs w:val="22"/>
          <w:shd w:val="clear" w:color="auto" w:fill="FFFFFF"/>
          <w:lang w:val="fr-FR"/>
        </w:rPr>
        <w:t xml:space="preserve">. </w:t>
      </w:r>
      <w:proofErr w:type="gramStart"/>
      <w:r w:rsidRPr="00057CAF">
        <w:rPr>
          <w:rFonts w:eastAsiaTheme="minorHAnsi" w:cstheme="minorHAnsi"/>
          <w:color w:val="000000"/>
          <w:szCs w:val="22"/>
          <w:shd w:val="clear" w:color="auto" w:fill="FFFFFF"/>
          <w:lang w:val="fr-FR"/>
        </w:rPr>
        <w:t>49:</w:t>
      </w:r>
      <w:proofErr w:type="gramEnd"/>
      <w:r w:rsidRPr="00057CAF">
        <w:rPr>
          <w:rFonts w:eastAsiaTheme="minorHAnsi" w:cstheme="minorHAnsi"/>
          <w:color w:val="000000"/>
          <w:szCs w:val="22"/>
          <w:shd w:val="clear" w:color="auto" w:fill="FFFFFF"/>
          <w:lang w:val="fr-FR"/>
        </w:rPr>
        <w:t xml:space="preserve"> 12 p. ISSN 1012-6554 ; (voir aussi : https://www.waldwissen.net/wald/pilze_flechten/wsl_pilzschutz_schweiz/index_FR)</w:t>
      </w:r>
    </w:p>
    <w:p w:rsidR="009716CF" w:rsidRPr="00146DB7" w:rsidRDefault="009716CF" w:rsidP="009716CF">
      <w:pPr>
        <w:spacing w:after="160"/>
        <w:rPr>
          <w:rFonts w:eastAsiaTheme="minorHAnsi" w:cstheme="minorBidi"/>
          <w:szCs w:val="22"/>
          <w:lang w:val="en-US"/>
        </w:rPr>
      </w:pPr>
      <w:proofErr w:type="spellStart"/>
      <w:r w:rsidRPr="00057CAF">
        <w:rPr>
          <w:rFonts w:eastAsiaTheme="minorHAnsi" w:cstheme="minorBidi"/>
          <w:smallCaps/>
          <w:szCs w:val="22"/>
          <w:lang w:val="fr-FR"/>
        </w:rPr>
        <w:t>Soussana</w:t>
      </w:r>
      <w:proofErr w:type="spellEnd"/>
      <w:r w:rsidRPr="00057CAF">
        <w:rPr>
          <w:rFonts w:eastAsiaTheme="minorHAnsi" w:cstheme="minorBidi"/>
          <w:smallCaps/>
          <w:szCs w:val="22"/>
          <w:lang w:val="fr-FR"/>
        </w:rPr>
        <w:t xml:space="preserve"> J.F</w:t>
      </w:r>
      <w:r w:rsidRPr="00057CAF">
        <w:rPr>
          <w:rFonts w:eastAsiaTheme="minorHAnsi" w:cstheme="minorBidi"/>
          <w:szCs w:val="22"/>
          <w:lang w:val="fr-FR"/>
        </w:rPr>
        <w:t xml:space="preserve">. </w:t>
      </w:r>
      <w:r w:rsidRPr="00057CAF">
        <w:rPr>
          <w:rFonts w:eastAsiaTheme="minorHAnsi" w:cstheme="minorBidi"/>
          <w:i/>
          <w:szCs w:val="22"/>
          <w:lang w:val="fr-FR"/>
        </w:rPr>
        <w:t>et al.</w:t>
      </w:r>
      <w:r w:rsidRPr="00057CAF">
        <w:rPr>
          <w:rFonts w:eastAsiaTheme="minorHAnsi" w:cstheme="minorBidi"/>
          <w:szCs w:val="22"/>
          <w:lang w:val="fr-FR"/>
        </w:rPr>
        <w:t xml:space="preserve"> 2007. </w:t>
      </w:r>
      <w:r w:rsidRPr="00146DB7">
        <w:rPr>
          <w:rFonts w:eastAsiaTheme="minorHAnsi" w:cstheme="minorBidi"/>
          <w:szCs w:val="22"/>
          <w:lang w:val="en-US"/>
        </w:rPr>
        <w:t>Full accounting of the greenhouse gas (CO2, N2O, CH4) budget of nine European grassland sites. Agriculture, Ecosystems and Environment 121 (2007) 121–134</w:t>
      </w:r>
    </w:p>
    <w:p w:rsidR="009716CF" w:rsidRPr="00057CAF" w:rsidRDefault="009716CF" w:rsidP="009716CF">
      <w:pPr>
        <w:spacing w:after="160"/>
        <w:jc w:val="left"/>
        <w:rPr>
          <w:rFonts w:eastAsiaTheme="minorHAnsi" w:cstheme="minorHAnsi"/>
          <w:color w:val="000000"/>
          <w:szCs w:val="22"/>
          <w:lang w:val="fr-FR"/>
        </w:rPr>
      </w:pPr>
      <w:proofErr w:type="spellStart"/>
      <w:r w:rsidRPr="00146DB7">
        <w:rPr>
          <w:rFonts w:eastAsiaTheme="minorHAnsi" w:cstheme="minorHAnsi"/>
          <w:smallCaps/>
          <w:color w:val="000000"/>
          <w:szCs w:val="22"/>
          <w:lang w:val="en-US"/>
        </w:rPr>
        <w:lastRenderedPageBreak/>
        <w:t>Tissier</w:t>
      </w:r>
      <w:proofErr w:type="spellEnd"/>
      <w:r w:rsidRPr="00146DB7">
        <w:rPr>
          <w:rFonts w:eastAsiaTheme="minorHAnsi" w:cstheme="minorHAnsi"/>
          <w:color w:val="000000"/>
          <w:szCs w:val="22"/>
          <w:lang w:val="en-US"/>
        </w:rPr>
        <w:t xml:space="preserve"> </w:t>
      </w:r>
      <w:r w:rsidRPr="00146DB7">
        <w:rPr>
          <w:rFonts w:eastAsiaTheme="minorHAnsi" w:cstheme="minorHAnsi"/>
          <w:i/>
          <w:color w:val="000000"/>
          <w:szCs w:val="22"/>
          <w:lang w:val="en-US"/>
        </w:rPr>
        <w:t>et al.</w:t>
      </w:r>
      <w:r w:rsidRPr="00146DB7">
        <w:rPr>
          <w:rFonts w:eastAsiaTheme="minorHAnsi" w:cstheme="minorHAnsi"/>
          <w:color w:val="000000"/>
          <w:szCs w:val="22"/>
          <w:lang w:val="en-US"/>
        </w:rPr>
        <w:t xml:space="preserve">, 2017. Diets derived from maize monoculture cause maternal infanticides in the endangered European hamster due to a vitamin B3 deficiency. </w:t>
      </w:r>
      <w:r w:rsidRPr="00057CAF">
        <w:rPr>
          <w:rFonts w:eastAsiaTheme="minorHAnsi" w:cstheme="minorHAnsi"/>
          <w:color w:val="000000"/>
          <w:szCs w:val="22"/>
          <w:lang w:val="fr-FR"/>
        </w:rPr>
        <w:t xml:space="preserve">Proc. R. Soc. B. 284(1847) (cité par </w:t>
      </w:r>
      <w:proofErr w:type="spellStart"/>
      <w:r w:rsidRPr="00057CAF">
        <w:rPr>
          <w:rFonts w:eastAsiaTheme="minorHAnsi" w:cstheme="minorHAnsi"/>
          <w:color w:val="000000"/>
          <w:szCs w:val="22"/>
          <w:lang w:val="fr-FR"/>
        </w:rPr>
        <w:t>Pussemier</w:t>
      </w:r>
      <w:proofErr w:type="spellEnd"/>
      <w:r w:rsidRPr="00057CAF">
        <w:rPr>
          <w:rFonts w:eastAsiaTheme="minorHAnsi" w:cstheme="minorHAnsi"/>
          <w:color w:val="000000"/>
          <w:szCs w:val="22"/>
          <w:lang w:val="fr-FR"/>
        </w:rPr>
        <w:t xml:space="preserve"> et </w:t>
      </w:r>
      <w:proofErr w:type="spellStart"/>
      <w:r w:rsidRPr="00057CAF">
        <w:rPr>
          <w:rFonts w:eastAsiaTheme="minorHAnsi" w:cstheme="minorHAnsi"/>
          <w:color w:val="000000"/>
          <w:szCs w:val="22"/>
          <w:lang w:val="fr-FR"/>
        </w:rPr>
        <w:t>Goyens</w:t>
      </w:r>
      <w:proofErr w:type="spellEnd"/>
      <w:r w:rsidRPr="00057CAF">
        <w:rPr>
          <w:rFonts w:eastAsiaTheme="minorHAnsi" w:cstheme="minorHAnsi"/>
          <w:color w:val="000000"/>
          <w:szCs w:val="22"/>
          <w:lang w:val="fr-FR"/>
        </w:rPr>
        <w:t>, 2018).</w:t>
      </w:r>
    </w:p>
    <w:p w:rsidR="009716CF" w:rsidRPr="00057CAF" w:rsidRDefault="009716CF" w:rsidP="009716CF">
      <w:pPr>
        <w:spacing w:after="160"/>
        <w:jc w:val="left"/>
        <w:rPr>
          <w:rFonts w:eastAsiaTheme="minorHAnsi" w:cstheme="minorHAnsi"/>
          <w:color w:val="000000"/>
          <w:szCs w:val="22"/>
          <w:lang w:val="fr-FR"/>
        </w:rPr>
      </w:pPr>
      <w:r w:rsidRPr="00057CAF">
        <w:rPr>
          <w:rFonts w:eastAsiaTheme="minorHAnsi" w:cstheme="minorHAnsi"/>
          <w:color w:val="000000"/>
          <w:szCs w:val="22"/>
          <w:lang w:val="fr-FR"/>
        </w:rPr>
        <w:t xml:space="preserve">UCL-ELI-Agronomie. </w:t>
      </w:r>
      <w:r w:rsidRPr="00E9242B">
        <w:rPr>
          <w:rFonts w:eastAsiaTheme="minorHAnsi" w:cstheme="minorHAnsi"/>
          <w:color w:val="000000"/>
          <w:szCs w:val="22"/>
          <w:lang w:val="fr-BE"/>
        </w:rPr>
        <w:t xml:space="preserve">2017. Rapport EVAGRI 2015-2017. </w:t>
      </w:r>
      <w:r w:rsidRPr="00057CAF">
        <w:rPr>
          <w:rFonts w:eastAsiaTheme="minorHAnsi" w:cstheme="minorHAnsi"/>
          <w:color w:val="000000"/>
          <w:szCs w:val="22"/>
          <w:lang w:val="fr-FR"/>
        </w:rPr>
        <w:t>Projet de rapport final.</w:t>
      </w:r>
    </w:p>
    <w:p w:rsidR="009716CF" w:rsidRPr="00057CAF" w:rsidRDefault="009716CF" w:rsidP="009716CF">
      <w:pPr>
        <w:spacing w:after="160"/>
        <w:jc w:val="left"/>
        <w:rPr>
          <w:rFonts w:eastAsiaTheme="minorHAnsi" w:cstheme="minorBidi"/>
          <w:szCs w:val="22"/>
          <w:lang w:val="fr-FR"/>
        </w:rPr>
      </w:pPr>
      <w:proofErr w:type="spellStart"/>
      <w:r w:rsidRPr="00057CAF">
        <w:rPr>
          <w:rFonts w:eastAsiaTheme="minorHAnsi" w:cstheme="minorBidi"/>
          <w:szCs w:val="22"/>
          <w:lang w:val="fr-FR"/>
        </w:rPr>
        <w:t>V</w:t>
      </w:r>
      <w:r w:rsidRPr="00057CAF">
        <w:rPr>
          <w:rFonts w:eastAsiaTheme="minorHAnsi" w:cstheme="minorBidi"/>
          <w:smallCaps/>
          <w:szCs w:val="22"/>
          <w:lang w:val="fr-FR"/>
        </w:rPr>
        <w:t>andenberghe</w:t>
      </w:r>
      <w:proofErr w:type="spellEnd"/>
      <w:r w:rsidRPr="00057CAF">
        <w:rPr>
          <w:rFonts w:eastAsiaTheme="minorHAnsi" w:cstheme="minorBidi"/>
          <w:szCs w:val="22"/>
          <w:lang w:val="fr-FR"/>
        </w:rPr>
        <w:t xml:space="preserve"> C., </w:t>
      </w:r>
      <w:r w:rsidRPr="00057CAF">
        <w:rPr>
          <w:rFonts w:ascii="Verdana" w:eastAsiaTheme="minorHAnsi" w:hAnsi="Verdana" w:cstheme="minorBidi"/>
          <w:color w:val="000000"/>
          <w:sz w:val="18"/>
          <w:szCs w:val="18"/>
          <w:shd w:val="clear" w:color="auto" w:fill="FFFFFF"/>
          <w:lang w:val="fr-FR"/>
        </w:rPr>
        <w:t>M. De </w:t>
      </w:r>
      <w:proofErr w:type="spellStart"/>
      <w:r w:rsidRPr="00057CAF">
        <w:rPr>
          <w:rFonts w:ascii="Verdana" w:eastAsiaTheme="minorHAnsi" w:hAnsi="Verdana" w:cstheme="minorBidi"/>
          <w:smallCaps/>
          <w:color w:val="000000"/>
          <w:sz w:val="18"/>
          <w:szCs w:val="18"/>
          <w:shd w:val="clear" w:color="auto" w:fill="FFFFFF"/>
          <w:lang w:val="fr-FR"/>
        </w:rPr>
        <w:t>Toffoli</w:t>
      </w:r>
      <w:proofErr w:type="spellEnd"/>
      <w:r w:rsidRPr="00057CAF">
        <w:rPr>
          <w:rFonts w:ascii="Verdana" w:eastAsiaTheme="minorHAnsi" w:hAnsi="Verdana" w:cstheme="minorBidi"/>
          <w:smallCaps/>
          <w:color w:val="000000"/>
          <w:sz w:val="18"/>
          <w:szCs w:val="18"/>
          <w:shd w:val="clear" w:color="auto" w:fill="FFFFFF"/>
          <w:lang w:val="fr-FR"/>
        </w:rPr>
        <w:t xml:space="preserve">, F. </w:t>
      </w:r>
      <w:proofErr w:type="spellStart"/>
      <w:r w:rsidRPr="00057CAF">
        <w:rPr>
          <w:rFonts w:ascii="Verdana" w:eastAsiaTheme="minorHAnsi" w:hAnsi="Verdana" w:cstheme="minorBidi"/>
          <w:smallCaps/>
          <w:color w:val="000000"/>
          <w:sz w:val="18"/>
          <w:szCs w:val="18"/>
          <w:shd w:val="clear" w:color="auto" w:fill="FFFFFF"/>
          <w:lang w:val="fr-FR"/>
        </w:rPr>
        <w:t>Bachelart</w:t>
      </w:r>
      <w:proofErr w:type="spellEnd"/>
      <w:r w:rsidRPr="00057CAF">
        <w:rPr>
          <w:rFonts w:ascii="Verdana" w:eastAsiaTheme="minorHAnsi" w:hAnsi="Verdana" w:cstheme="minorBidi"/>
          <w:smallCaps/>
          <w:color w:val="000000"/>
          <w:sz w:val="18"/>
          <w:szCs w:val="18"/>
          <w:shd w:val="clear" w:color="auto" w:fill="FFFFFF"/>
          <w:lang w:val="fr-FR"/>
        </w:rPr>
        <w:t xml:space="preserve">, F-O. </w:t>
      </w:r>
      <w:proofErr w:type="spellStart"/>
      <w:r w:rsidRPr="00057CAF">
        <w:rPr>
          <w:rFonts w:ascii="Verdana" w:eastAsiaTheme="minorHAnsi" w:hAnsi="Verdana" w:cstheme="minorBidi"/>
          <w:smallCaps/>
          <w:color w:val="000000"/>
          <w:sz w:val="18"/>
          <w:szCs w:val="18"/>
          <w:shd w:val="clear" w:color="auto" w:fill="FFFFFF"/>
          <w:lang w:val="fr-FR"/>
        </w:rPr>
        <w:t>Imbrecht</w:t>
      </w:r>
      <w:proofErr w:type="spellEnd"/>
      <w:r w:rsidRPr="00057CAF">
        <w:rPr>
          <w:rFonts w:ascii="Verdana" w:eastAsiaTheme="minorHAnsi" w:hAnsi="Verdana" w:cstheme="minorBidi"/>
          <w:smallCaps/>
          <w:color w:val="000000"/>
          <w:sz w:val="18"/>
          <w:szCs w:val="18"/>
          <w:shd w:val="clear" w:color="auto" w:fill="FFFFFF"/>
          <w:lang w:val="fr-FR"/>
        </w:rPr>
        <w:t>, R. Lambert et</w:t>
      </w:r>
      <w:r w:rsidRPr="00057CAF">
        <w:rPr>
          <w:rFonts w:ascii="Verdana" w:eastAsiaTheme="minorHAnsi" w:hAnsi="Verdana" w:cstheme="minorBidi"/>
          <w:color w:val="000000"/>
          <w:sz w:val="18"/>
          <w:szCs w:val="18"/>
          <w:shd w:val="clear" w:color="auto" w:fill="FFFFFF"/>
          <w:lang w:val="fr-FR"/>
        </w:rPr>
        <w:t xml:space="preserve"> &amp; J.M. </w:t>
      </w:r>
      <w:proofErr w:type="spellStart"/>
      <w:r w:rsidRPr="00057CAF">
        <w:rPr>
          <w:rFonts w:ascii="Verdana" w:eastAsiaTheme="minorHAnsi" w:hAnsi="Verdana" w:cstheme="minorBidi"/>
          <w:smallCaps/>
          <w:color w:val="000000"/>
          <w:sz w:val="18"/>
          <w:szCs w:val="18"/>
          <w:shd w:val="clear" w:color="auto" w:fill="FFFFFF"/>
          <w:lang w:val="fr-FR"/>
        </w:rPr>
        <w:t>Marcoen</w:t>
      </w:r>
      <w:proofErr w:type="spellEnd"/>
      <w:r w:rsidRPr="00057CAF">
        <w:rPr>
          <w:rFonts w:eastAsiaTheme="minorHAnsi" w:cstheme="minorBidi"/>
          <w:szCs w:val="22"/>
          <w:lang w:val="fr-FR"/>
        </w:rPr>
        <w:t xml:space="preserve"> </w:t>
      </w:r>
      <w:r w:rsidRPr="00057CAF">
        <w:rPr>
          <w:rFonts w:eastAsiaTheme="minorHAnsi" w:cstheme="minorBidi"/>
          <w:i/>
          <w:szCs w:val="22"/>
          <w:lang w:val="fr-FR"/>
        </w:rPr>
        <w:t>et al.</w:t>
      </w:r>
      <w:r w:rsidRPr="00057CAF">
        <w:rPr>
          <w:rFonts w:eastAsiaTheme="minorHAnsi" w:cstheme="minorBidi"/>
          <w:szCs w:val="22"/>
          <w:lang w:val="fr-FR"/>
        </w:rPr>
        <w:t xml:space="preserve"> 2013. Contrôle de l’azote potentiellement lessivable dans le sol en début de période de lixiviation. Etablissement des valeurs de référence. Base – </w:t>
      </w:r>
      <w:proofErr w:type="spellStart"/>
      <w:r w:rsidRPr="00057CAF">
        <w:rPr>
          <w:rFonts w:eastAsiaTheme="minorHAnsi" w:cstheme="minorBidi"/>
          <w:szCs w:val="22"/>
          <w:lang w:val="fr-FR"/>
        </w:rPr>
        <w:t>Biotechnol</w:t>
      </w:r>
      <w:proofErr w:type="spellEnd"/>
      <w:r w:rsidRPr="00057CAF">
        <w:rPr>
          <w:rFonts w:eastAsiaTheme="minorHAnsi" w:cstheme="minorBidi"/>
          <w:szCs w:val="22"/>
          <w:lang w:val="fr-FR"/>
        </w:rPr>
        <w:t xml:space="preserve">. </w:t>
      </w:r>
      <w:proofErr w:type="spellStart"/>
      <w:r w:rsidRPr="00057CAF">
        <w:rPr>
          <w:rFonts w:eastAsiaTheme="minorHAnsi" w:cstheme="minorBidi"/>
          <w:szCs w:val="22"/>
          <w:lang w:val="fr-FR"/>
        </w:rPr>
        <w:t>Agron</w:t>
      </w:r>
      <w:proofErr w:type="spellEnd"/>
      <w:r w:rsidRPr="00057CAF">
        <w:rPr>
          <w:rFonts w:eastAsiaTheme="minorHAnsi" w:cstheme="minorBidi"/>
          <w:szCs w:val="22"/>
          <w:lang w:val="fr-FR"/>
        </w:rPr>
        <w:t>. Soc. Environ., 17 : 195-222.</w:t>
      </w:r>
    </w:p>
    <w:p w:rsidR="009716CF" w:rsidRPr="00057CAF" w:rsidRDefault="009716CF" w:rsidP="009716CF">
      <w:pPr>
        <w:spacing w:after="160"/>
        <w:jc w:val="left"/>
        <w:rPr>
          <w:rFonts w:eastAsiaTheme="minorHAnsi" w:cstheme="minorBidi"/>
          <w:szCs w:val="22"/>
          <w:lang w:val="fr-FR"/>
        </w:rPr>
      </w:pPr>
      <w:proofErr w:type="spellStart"/>
      <w:r w:rsidRPr="00057CAF">
        <w:rPr>
          <w:rFonts w:eastAsiaTheme="minorHAnsi" w:cstheme="minorBidi"/>
          <w:smallCaps/>
          <w:szCs w:val="22"/>
          <w:lang w:val="fr-FR"/>
        </w:rPr>
        <w:t>Vermoren</w:t>
      </w:r>
      <w:proofErr w:type="spellEnd"/>
      <w:r w:rsidRPr="00057CAF">
        <w:rPr>
          <w:rFonts w:eastAsiaTheme="minorHAnsi" w:cstheme="minorBidi"/>
          <w:smallCaps/>
          <w:szCs w:val="22"/>
          <w:lang w:val="fr-FR"/>
        </w:rPr>
        <w:t>, M</w:t>
      </w:r>
      <w:r w:rsidRPr="00057CAF">
        <w:rPr>
          <w:rFonts w:eastAsiaTheme="minorHAnsi" w:cstheme="minorBidi"/>
          <w:szCs w:val="22"/>
          <w:lang w:val="fr-FR"/>
        </w:rPr>
        <w:t>. 1995. Emissions annuelles de méthane d’origine digestive par les bovins en France. Variations selon le type d’animal et le niveau de production. INRA Productions animales, 1995, 8 (4), pp.265-272.</w:t>
      </w:r>
    </w:p>
    <w:p w:rsidR="00833D10" w:rsidRPr="00057CAF" w:rsidRDefault="00833D10" w:rsidP="009716CF">
      <w:pPr>
        <w:spacing w:after="160"/>
        <w:jc w:val="left"/>
        <w:rPr>
          <w:rFonts w:eastAsiaTheme="minorHAnsi" w:cstheme="minorBidi"/>
          <w:szCs w:val="22"/>
          <w:lang w:val="fr-FR"/>
        </w:rPr>
      </w:pPr>
      <w:r w:rsidRPr="00057CAF">
        <w:rPr>
          <w:rFonts w:eastAsiaTheme="minorHAnsi" w:cstheme="minorBidi"/>
          <w:smallCaps/>
          <w:szCs w:val="22"/>
          <w:lang w:val="fr-FR"/>
        </w:rPr>
        <w:t>Walot</w:t>
      </w:r>
      <w:r w:rsidRPr="00057CAF">
        <w:rPr>
          <w:rFonts w:eastAsiaTheme="minorHAnsi" w:cstheme="minorBidi"/>
          <w:szCs w:val="22"/>
          <w:lang w:val="fr-FR"/>
        </w:rPr>
        <w:t xml:space="preserve">, T. 2017. </w:t>
      </w:r>
      <w:r w:rsidRPr="00057CAF">
        <w:rPr>
          <w:lang w:val="fr-FR"/>
        </w:rPr>
        <w:t>Bandes végétalisées le long des cours d’eau et bénéfices dans la réduction des pollutions agricoles diffuses. UCL.</w:t>
      </w:r>
    </w:p>
    <w:p w:rsidR="009716CF" w:rsidRPr="00057CAF" w:rsidRDefault="009716CF" w:rsidP="009716CF">
      <w:pPr>
        <w:spacing w:after="160"/>
        <w:jc w:val="left"/>
        <w:rPr>
          <w:rFonts w:eastAsiaTheme="minorHAnsi" w:cstheme="minorBidi"/>
          <w:szCs w:val="22"/>
          <w:lang w:val="fr-FR"/>
        </w:rPr>
      </w:pPr>
      <w:r w:rsidRPr="00057CAF">
        <w:rPr>
          <w:rFonts w:eastAsiaTheme="minorHAnsi" w:cstheme="minorBidi"/>
          <w:smallCaps/>
          <w:szCs w:val="22"/>
          <w:lang w:val="fr-FR"/>
        </w:rPr>
        <w:t>Walot, T</w:t>
      </w:r>
      <w:r w:rsidRPr="00057CAF">
        <w:rPr>
          <w:rFonts w:eastAsiaTheme="minorHAnsi" w:cstheme="minorBidi"/>
          <w:szCs w:val="22"/>
          <w:lang w:val="fr-FR"/>
        </w:rPr>
        <w:t>. 2018. L’agroenvironnement wallon en 2017, état des lieux et perspectives. Mille Lieux 10 : 36-43.</w:t>
      </w:r>
    </w:p>
    <w:p w:rsidR="00506F24" w:rsidRPr="00024FED" w:rsidRDefault="00506F24" w:rsidP="00506F24">
      <w:pPr>
        <w:spacing w:after="160"/>
        <w:jc w:val="left"/>
        <w:rPr>
          <w:rFonts w:eastAsiaTheme="minorHAnsi" w:cstheme="minorBidi"/>
          <w:szCs w:val="22"/>
          <w:lang w:val="en-US"/>
        </w:rPr>
      </w:pPr>
      <w:r w:rsidRPr="00057CAF">
        <w:rPr>
          <w:rFonts w:eastAsiaTheme="minorHAnsi" w:cstheme="minorBidi"/>
          <w:smallCaps/>
          <w:szCs w:val="22"/>
          <w:lang w:val="fr-FR"/>
        </w:rPr>
        <w:t>Walot, T</w:t>
      </w:r>
      <w:r w:rsidRPr="00057CAF">
        <w:rPr>
          <w:rFonts w:eastAsiaTheme="minorHAnsi" w:cstheme="minorBidi"/>
          <w:szCs w:val="22"/>
          <w:lang w:val="fr-FR"/>
        </w:rPr>
        <w:t xml:space="preserve">. 2018. L’agroenvironnement wallon en 2018, bilan et perspectives. </w:t>
      </w:r>
      <w:r w:rsidRPr="00024FED">
        <w:rPr>
          <w:rFonts w:eastAsiaTheme="minorHAnsi" w:cstheme="minorBidi"/>
          <w:szCs w:val="22"/>
          <w:lang w:val="en-US"/>
        </w:rPr>
        <w:t>UCL</w:t>
      </w:r>
    </w:p>
    <w:p w:rsidR="00146DB7" w:rsidRPr="00E9242B" w:rsidRDefault="00C524F9" w:rsidP="00146DB7">
      <w:pPr>
        <w:spacing w:after="160"/>
        <w:rPr>
          <w:rFonts w:eastAsiaTheme="minorHAnsi" w:cstheme="minorBidi"/>
          <w:szCs w:val="22"/>
        </w:rPr>
      </w:pPr>
      <w:r w:rsidRPr="00024FED">
        <w:rPr>
          <w:rFonts w:eastAsiaTheme="minorHAnsi" w:cstheme="minorBidi"/>
          <w:smallCaps/>
          <w:szCs w:val="22"/>
          <w:lang w:val="en-US"/>
        </w:rPr>
        <w:t>Wilson, J.D., Whittingham, M.J. &amp; R.B. Bradbury</w:t>
      </w:r>
      <w:r w:rsidRPr="00024FED">
        <w:rPr>
          <w:rFonts w:eastAsiaTheme="minorHAnsi" w:cstheme="minorBidi"/>
          <w:szCs w:val="22"/>
          <w:lang w:val="en-US"/>
        </w:rPr>
        <w:t xml:space="preserve">. </w:t>
      </w:r>
      <w:r>
        <w:rPr>
          <w:rFonts w:eastAsiaTheme="minorHAnsi" w:cstheme="minorBidi"/>
          <w:szCs w:val="22"/>
          <w:lang w:val="en-US"/>
        </w:rPr>
        <w:t xml:space="preserve">2005. </w:t>
      </w:r>
      <w:r w:rsidR="00146DB7" w:rsidRPr="008840A4">
        <w:rPr>
          <w:rFonts w:eastAsiaTheme="minorHAnsi" w:cstheme="minorBidi"/>
          <w:szCs w:val="22"/>
          <w:lang w:val="en-US"/>
        </w:rPr>
        <w:t xml:space="preserve"> </w:t>
      </w:r>
      <w:r w:rsidRPr="008840A4">
        <w:rPr>
          <w:lang w:val="en-US"/>
        </w:rPr>
        <w:t>The management of crop structure: a general approach to reversing the impacts of agricultural intensification on birds?</w:t>
      </w:r>
      <w:r>
        <w:rPr>
          <w:lang w:val="en-US"/>
        </w:rPr>
        <w:t xml:space="preserve"> </w:t>
      </w:r>
      <w:r w:rsidRPr="00E9242B">
        <w:t>Ibis 147: 453-463.</w:t>
      </w:r>
    </w:p>
    <w:p w:rsidR="00146DB7" w:rsidRPr="00E9242B" w:rsidRDefault="00146DB7" w:rsidP="00146DB7">
      <w:pPr>
        <w:spacing w:after="160" w:line="259" w:lineRule="auto"/>
        <w:jc w:val="left"/>
        <w:rPr>
          <w:rFonts w:eastAsiaTheme="minorHAnsi" w:cstheme="minorBidi"/>
          <w:szCs w:val="22"/>
        </w:rPr>
      </w:pPr>
    </w:p>
    <w:p w:rsidR="00432D1B" w:rsidRPr="00E9242B" w:rsidRDefault="00432D1B" w:rsidP="000132AA">
      <w:pPr>
        <w:sectPr w:rsidR="00432D1B" w:rsidRPr="00E9242B" w:rsidSect="0050022D">
          <w:type w:val="oddPage"/>
          <w:pgSz w:w="11906" w:h="16838"/>
          <w:pgMar w:top="1417" w:right="1417" w:bottom="1417" w:left="1417" w:header="708" w:footer="708" w:gutter="0"/>
          <w:cols w:space="708"/>
          <w:docGrid w:linePitch="360"/>
        </w:sectPr>
      </w:pPr>
    </w:p>
    <w:p w:rsidR="00432D1B" w:rsidRPr="005F594E" w:rsidRDefault="00432D1B" w:rsidP="005F594E">
      <w:pPr>
        <w:pStyle w:val="Titre1"/>
        <w:spacing w:after="480"/>
      </w:pPr>
      <w:bookmarkStart w:id="163" w:name="_Toc25688810"/>
      <w:r>
        <w:lastRenderedPageBreak/>
        <w:t xml:space="preserve">Annexe </w:t>
      </w:r>
      <w:r w:rsidR="005F594E">
        <w:t>10.</w:t>
      </w:r>
      <w:r w:rsidR="005F594E" w:rsidRPr="005F594E">
        <w:t xml:space="preserve"> </w:t>
      </w:r>
      <w:r w:rsidR="005F594E" w:rsidRPr="001D6992">
        <w:t>Bilan des réalisations, mesure 4.1 investissements dans les expl</w:t>
      </w:r>
      <w:r w:rsidR="005F594E">
        <w:t>oitations agricoles</w:t>
      </w:r>
      <w:bookmarkEnd w:id="163"/>
    </w:p>
    <w:p w:rsidR="00432D1B" w:rsidRPr="00057CAF" w:rsidRDefault="00432D1B">
      <w:pPr>
        <w:rPr>
          <w:lang w:val="fr-FR"/>
        </w:rPr>
      </w:pPr>
      <w:r w:rsidRPr="00057CAF">
        <w:rPr>
          <w:lang w:val="fr-FR"/>
        </w:rPr>
        <w:t>Le bilan des réalisations de la mesure 4.1 « </w:t>
      </w:r>
      <w:r w:rsidRPr="00057CAF">
        <w:rPr>
          <w:i/>
          <w:lang w:val="fr-FR"/>
        </w:rPr>
        <w:t>investissements dans les exploitations agricoles</w:t>
      </w:r>
      <w:r w:rsidRPr="00057CAF">
        <w:rPr>
          <w:lang w:val="fr-FR"/>
        </w:rPr>
        <w:t xml:space="preserve"> », mobilisée à titre principal/primaire au titre de la priorité 2A est brièvement résumé ci-dessous, puisqu’il est déterminant dans la réponse à la QE. </w:t>
      </w:r>
    </w:p>
    <w:p w:rsidR="005F594E" w:rsidRPr="00057CAF" w:rsidRDefault="005F594E">
      <w:pPr>
        <w:rPr>
          <w:lang w:val="fr-FR"/>
        </w:rPr>
      </w:pPr>
    </w:p>
    <w:p w:rsidR="00432D1B" w:rsidRPr="00057CAF" w:rsidRDefault="00432D1B">
      <w:pPr>
        <w:rPr>
          <w:b/>
          <w:lang w:val="fr-FR"/>
        </w:rPr>
      </w:pPr>
      <w:r w:rsidRPr="00057CAF">
        <w:rPr>
          <w:lang w:val="fr-FR"/>
        </w:rPr>
        <w:t xml:space="preserve">Au cours de la période 2014-2018, 7564 dossiers ont été payés pour un montant de 61,32M€ de DPT (tableau 1). Il s’agit majoritairement de dossiers soumis dans le cadre du </w:t>
      </w:r>
      <w:proofErr w:type="spellStart"/>
      <w:r w:rsidRPr="00057CAF">
        <w:rPr>
          <w:lang w:val="fr-FR"/>
        </w:rPr>
        <w:t>PwDR</w:t>
      </w:r>
      <w:proofErr w:type="spellEnd"/>
      <w:r w:rsidRPr="00057CAF">
        <w:rPr>
          <w:lang w:val="fr-FR"/>
        </w:rPr>
        <w:t xml:space="preserve"> 2007-2013 et sous les règles de celui-ci (dispositions de la mesure 121). Ces dossiers correspondent à </w:t>
      </w:r>
      <w:r w:rsidRPr="00057CAF">
        <w:rPr>
          <w:b/>
          <w:lang w:val="fr-FR"/>
        </w:rPr>
        <w:t xml:space="preserve">3421 exploitations agricoles. </w:t>
      </w:r>
    </w:p>
    <w:p w:rsidR="00432D1B" w:rsidRPr="00057CAF" w:rsidRDefault="00432D1B" w:rsidP="005F594E">
      <w:pPr>
        <w:pStyle w:val="ChartTitle"/>
        <w:rPr>
          <w:lang w:val="fr-FR"/>
        </w:rPr>
      </w:pPr>
      <w:r w:rsidRPr="00057CAF">
        <w:rPr>
          <w:lang w:val="fr-FR"/>
        </w:rPr>
        <w:t>Tableau 1 : Nombre de dossiers et dépenses publiques totales (€) de la mesure 4.1 sur la période 2014-2018</w:t>
      </w:r>
    </w:p>
    <w:p w:rsidR="00432D1B" w:rsidRDefault="00432D1B">
      <w:r w:rsidRPr="00B96E5D">
        <w:rPr>
          <w:noProof/>
          <w:lang w:val="fr-FR"/>
        </w:rPr>
        <w:drawing>
          <wp:inline distT="0" distB="0" distL="0" distR="0" wp14:anchorId="1EA4C9A6" wp14:editId="32D8A9F1">
            <wp:extent cx="5943600" cy="2103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103843"/>
                    </a:xfrm>
                    <a:prstGeom prst="rect">
                      <a:avLst/>
                    </a:prstGeom>
                    <a:noFill/>
                    <a:ln>
                      <a:noFill/>
                    </a:ln>
                  </pic:spPr>
                </pic:pic>
              </a:graphicData>
            </a:graphic>
          </wp:inline>
        </w:drawing>
      </w:r>
    </w:p>
    <w:p w:rsidR="00432D1B" w:rsidRPr="00057CAF" w:rsidRDefault="00432D1B">
      <w:pPr>
        <w:rPr>
          <w:sz w:val="18"/>
          <w:szCs w:val="18"/>
          <w:lang w:val="fr-FR"/>
        </w:rPr>
      </w:pPr>
      <w:r w:rsidRPr="00057CAF">
        <w:rPr>
          <w:sz w:val="18"/>
          <w:szCs w:val="18"/>
          <w:lang w:val="fr-FR"/>
        </w:rPr>
        <w:t>Source : extraction ADISA, SPW, avril 2019</w:t>
      </w:r>
    </w:p>
    <w:p w:rsidR="005F594E" w:rsidRPr="00057CAF" w:rsidRDefault="005F594E">
      <w:pPr>
        <w:rPr>
          <w:lang w:val="fr-FR"/>
        </w:rPr>
      </w:pPr>
    </w:p>
    <w:p w:rsidR="00432D1B" w:rsidRPr="00057CAF" w:rsidRDefault="00432D1B">
      <w:pPr>
        <w:rPr>
          <w:lang w:val="fr-FR"/>
        </w:rPr>
      </w:pPr>
      <w:r w:rsidRPr="00057CAF">
        <w:rPr>
          <w:lang w:val="fr-FR"/>
        </w:rPr>
        <w:t xml:space="preserve">Ces dossiers se rapportent essentiellement à des projets de la période 2007-2013, payés avec le budget 2014-2020 (tableau 2). En effet, ceux-ci couvrent </w:t>
      </w:r>
      <w:r w:rsidRPr="00057CAF">
        <w:rPr>
          <w:b/>
          <w:lang w:val="fr-FR"/>
        </w:rPr>
        <w:t>94% des dossiers et 89% des dépenses</w:t>
      </w:r>
      <w:r w:rsidRPr="00057CAF">
        <w:rPr>
          <w:lang w:val="fr-FR"/>
        </w:rPr>
        <w:t xml:space="preserve">. 441 dossiers ont été entièrement finalisés au 31/12/2018 sous les règles du </w:t>
      </w:r>
      <w:proofErr w:type="spellStart"/>
      <w:r w:rsidRPr="00057CAF">
        <w:rPr>
          <w:lang w:val="fr-FR"/>
        </w:rPr>
        <w:t>PwDR</w:t>
      </w:r>
      <w:proofErr w:type="spellEnd"/>
      <w:r w:rsidRPr="00057CAF">
        <w:rPr>
          <w:lang w:val="fr-FR"/>
        </w:rPr>
        <w:t xml:space="preserve"> 2014-2020.  Ils correspondant à 6,8M € de DPT. </w:t>
      </w:r>
    </w:p>
    <w:p w:rsidR="00432D1B" w:rsidRPr="00057CAF" w:rsidRDefault="00432D1B" w:rsidP="005F594E">
      <w:pPr>
        <w:pStyle w:val="ChartTitle"/>
        <w:rPr>
          <w:lang w:val="fr-FR"/>
        </w:rPr>
      </w:pPr>
      <w:r w:rsidRPr="00057CAF">
        <w:rPr>
          <w:lang w:val="fr-FR"/>
        </w:rPr>
        <w:t xml:space="preserve">Tableau 2 : Nombre de dossiers et dépenses publiques selon la période d’instruction </w:t>
      </w:r>
    </w:p>
    <w:p w:rsidR="00432D1B" w:rsidRDefault="00432D1B">
      <w:r w:rsidRPr="00B96E5D">
        <w:rPr>
          <w:noProof/>
          <w:lang w:val="fr-FR"/>
        </w:rPr>
        <w:drawing>
          <wp:inline distT="0" distB="0" distL="0" distR="0" wp14:anchorId="3CFC44B7" wp14:editId="34E4E2DE">
            <wp:extent cx="5943600" cy="178361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783611"/>
                    </a:xfrm>
                    <a:prstGeom prst="rect">
                      <a:avLst/>
                    </a:prstGeom>
                    <a:noFill/>
                    <a:ln>
                      <a:noFill/>
                    </a:ln>
                  </pic:spPr>
                </pic:pic>
              </a:graphicData>
            </a:graphic>
          </wp:inline>
        </w:drawing>
      </w:r>
    </w:p>
    <w:p w:rsidR="00432D1B" w:rsidRPr="00057CAF" w:rsidRDefault="00432D1B" w:rsidP="00432D1B">
      <w:pPr>
        <w:rPr>
          <w:sz w:val="18"/>
          <w:szCs w:val="18"/>
          <w:lang w:val="fr-FR"/>
        </w:rPr>
      </w:pPr>
      <w:r w:rsidRPr="00057CAF">
        <w:rPr>
          <w:sz w:val="18"/>
          <w:szCs w:val="18"/>
          <w:lang w:val="fr-FR"/>
        </w:rPr>
        <w:t>Source : extraction ADISA, SPW, avril 2019</w:t>
      </w:r>
    </w:p>
    <w:p w:rsidR="00432D1B" w:rsidRPr="00057CAF" w:rsidRDefault="00432D1B" w:rsidP="00432D1B">
      <w:pPr>
        <w:rPr>
          <w:lang w:val="fr-FR"/>
        </w:rPr>
      </w:pPr>
      <w:r w:rsidRPr="00057CAF">
        <w:rPr>
          <w:lang w:val="fr-FR"/>
        </w:rPr>
        <w:t xml:space="preserve">La part des dossiers relevant d’agriculteurs qui pratiquent l’agriculture biologique s’élève respectivement à 8 et 12% des dossiers (période 2007-2013 et 2014-2020). Ils représentent </w:t>
      </w:r>
      <w:r w:rsidRPr="00057CAF">
        <w:rPr>
          <w:lang w:val="fr-FR"/>
        </w:rPr>
        <w:lastRenderedPageBreak/>
        <w:t>respectivement 7 et 10% des DPT. Les CUMA représentaient 10% des dossiers de machines agricoles et 15% des montants en DPT sur la période 2007-2013. Au 31/12/2018, aucun dossier CUMA de la période 2014-2020 n’est encore finalisé.</w:t>
      </w:r>
    </w:p>
    <w:p w:rsidR="005F594E" w:rsidRPr="00057CAF" w:rsidRDefault="005F594E" w:rsidP="00432D1B">
      <w:pPr>
        <w:rPr>
          <w:lang w:val="fr-FR"/>
        </w:rPr>
      </w:pPr>
    </w:p>
    <w:p w:rsidR="00432D1B" w:rsidRPr="00057CAF" w:rsidRDefault="00432D1B" w:rsidP="00432D1B">
      <w:pPr>
        <w:rPr>
          <w:lang w:val="fr-FR"/>
        </w:rPr>
      </w:pPr>
      <w:r w:rsidRPr="00057CAF">
        <w:rPr>
          <w:lang w:val="fr-FR"/>
        </w:rPr>
        <w:t>L’importance des dossiers relevant de la période précédente s’explique par deux faits :</w:t>
      </w:r>
    </w:p>
    <w:p w:rsidR="00432D1B" w:rsidRPr="00057CAF" w:rsidRDefault="00432D1B" w:rsidP="005F594E">
      <w:pPr>
        <w:pStyle w:val="bullets"/>
        <w:rPr>
          <w:lang w:val="fr-FR"/>
        </w:rPr>
      </w:pPr>
      <w:r w:rsidRPr="00057CAF">
        <w:rPr>
          <w:lang w:val="fr-FR"/>
        </w:rPr>
        <w:t xml:space="preserve">La capitalisation des subventions-intérêts, obligatoire pour le 31/12/2015 ; </w:t>
      </w:r>
    </w:p>
    <w:p w:rsidR="00432D1B" w:rsidRPr="00057CAF" w:rsidRDefault="00432D1B" w:rsidP="005F594E">
      <w:pPr>
        <w:pStyle w:val="bullets"/>
        <w:rPr>
          <w:lang w:val="fr-FR"/>
        </w:rPr>
      </w:pPr>
      <w:r w:rsidRPr="00057CAF">
        <w:rPr>
          <w:lang w:val="fr-FR"/>
        </w:rPr>
        <w:t>Les dossiers transitoires plafonnés à 20 000€ (73 au total).</w:t>
      </w:r>
    </w:p>
    <w:p w:rsidR="00432D1B" w:rsidRPr="00057CAF" w:rsidRDefault="00432D1B" w:rsidP="00432D1B">
      <w:pPr>
        <w:rPr>
          <w:lang w:val="fr-FR"/>
        </w:rPr>
      </w:pPr>
      <w:r w:rsidRPr="00057CAF">
        <w:rPr>
          <w:lang w:val="fr-FR"/>
        </w:rPr>
        <w:t xml:space="preserve">Dès lors, le nombre de dossiers, et les montants moyens par dossiers ne sont pas représentatifs en ce qui concerne la période 2007-2013. En effet, notamment pour les bâtiments d’élevage </w:t>
      </w:r>
      <w:proofErr w:type="gramStart"/>
      <w:r w:rsidRPr="00057CAF">
        <w:rPr>
          <w:lang w:val="fr-FR"/>
        </w:rPr>
        <w:t>bovin,  l’apurement</w:t>
      </w:r>
      <w:proofErr w:type="gramEnd"/>
      <w:r w:rsidRPr="00057CAF">
        <w:rPr>
          <w:lang w:val="fr-FR"/>
        </w:rPr>
        <w:t xml:space="preserve"> totalise plus de 200 dossiers pour des petits montants (1 000€ voir moins). </w:t>
      </w:r>
    </w:p>
    <w:p w:rsidR="005F594E" w:rsidRPr="00057CAF" w:rsidRDefault="005F594E" w:rsidP="00432D1B">
      <w:pPr>
        <w:rPr>
          <w:lang w:val="fr-FR"/>
        </w:rPr>
      </w:pPr>
    </w:p>
    <w:p w:rsidR="00432D1B" w:rsidRPr="00057CAF" w:rsidRDefault="00432D1B" w:rsidP="00432D1B">
      <w:pPr>
        <w:rPr>
          <w:lang w:val="fr-FR"/>
        </w:rPr>
      </w:pPr>
      <w:r w:rsidRPr="00057CAF">
        <w:rPr>
          <w:lang w:val="fr-FR"/>
        </w:rPr>
        <w:t xml:space="preserve">Pour les 441 dossiers instruits sous les règles du PDR 2014-2020, le montant moyen des aides publiques (DPT en €) varie d’environ 12 000€ pour des machines agricoles/outillage ou équipement, à 40 000€ pour les bâtiments d’élevage bovin à 90 000 € pour deux étables autres que bovins (tableau 3). </w:t>
      </w:r>
    </w:p>
    <w:p w:rsidR="00432D1B" w:rsidRPr="00057CAF" w:rsidRDefault="00432D1B" w:rsidP="005F594E">
      <w:pPr>
        <w:pStyle w:val="ChartTitle"/>
        <w:rPr>
          <w:lang w:val="fr-FR"/>
        </w:rPr>
      </w:pPr>
      <w:r w:rsidRPr="00057CAF">
        <w:rPr>
          <w:lang w:val="fr-FR"/>
        </w:rPr>
        <w:t>Tableau 3 Catégories d’investissement des dossiers entièrement payés instruits sous le PDR 2014-2020</w:t>
      </w:r>
    </w:p>
    <w:p w:rsidR="00432D1B" w:rsidRDefault="00432D1B" w:rsidP="00432D1B">
      <w:r w:rsidRPr="00496BE1">
        <w:rPr>
          <w:noProof/>
          <w:lang w:val="fr-FR"/>
        </w:rPr>
        <w:drawing>
          <wp:inline distT="0" distB="0" distL="0" distR="0" wp14:anchorId="4BE035F1" wp14:editId="7382297A">
            <wp:extent cx="5594350" cy="20828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94350" cy="2082800"/>
                    </a:xfrm>
                    <a:prstGeom prst="rect">
                      <a:avLst/>
                    </a:prstGeom>
                    <a:noFill/>
                    <a:ln>
                      <a:noFill/>
                    </a:ln>
                  </pic:spPr>
                </pic:pic>
              </a:graphicData>
            </a:graphic>
          </wp:inline>
        </w:drawing>
      </w:r>
    </w:p>
    <w:p w:rsidR="00432D1B" w:rsidRPr="00057CAF" w:rsidRDefault="00432D1B" w:rsidP="00432D1B">
      <w:pPr>
        <w:rPr>
          <w:sz w:val="18"/>
          <w:szCs w:val="18"/>
          <w:lang w:val="fr-FR"/>
        </w:rPr>
      </w:pPr>
      <w:r w:rsidRPr="00057CAF">
        <w:rPr>
          <w:sz w:val="18"/>
          <w:szCs w:val="18"/>
          <w:lang w:val="fr-FR"/>
        </w:rPr>
        <w:t>Source : extraction ADISA, SPW, avril 2019</w:t>
      </w:r>
    </w:p>
    <w:p w:rsidR="005F594E" w:rsidRPr="00057CAF" w:rsidRDefault="005F594E" w:rsidP="00432D1B">
      <w:pPr>
        <w:rPr>
          <w:lang w:val="fr-FR"/>
        </w:rPr>
      </w:pPr>
    </w:p>
    <w:p w:rsidR="00432D1B" w:rsidRPr="00057CAF" w:rsidRDefault="00432D1B" w:rsidP="00432D1B">
      <w:pPr>
        <w:rPr>
          <w:lang w:val="fr-FR"/>
        </w:rPr>
      </w:pPr>
      <w:r w:rsidRPr="00057CAF">
        <w:rPr>
          <w:lang w:val="fr-FR"/>
        </w:rPr>
        <w:t xml:space="preserve">Le bilan en termes de dossiers clôturés (totalement finalisés au 31/12/2018) est limité. Dès lors, pour les travaux évaluatifs, la perspective des dossiers engagés a été adoptée. </w:t>
      </w:r>
    </w:p>
    <w:p w:rsidR="00432D1B" w:rsidRPr="00057CAF" w:rsidRDefault="00432D1B" w:rsidP="00432D1B">
      <w:pPr>
        <w:rPr>
          <w:lang w:val="fr-FR"/>
        </w:rPr>
      </w:pPr>
      <w:r w:rsidRPr="00057CAF">
        <w:rPr>
          <w:lang w:val="fr-FR"/>
        </w:rPr>
        <w:t xml:space="preserve">L’évaluateur (ADE - </w:t>
      </w:r>
      <w:proofErr w:type="spellStart"/>
      <w:r w:rsidRPr="00057CAF">
        <w:rPr>
          <w:lang w:val="fr-FR"/>
        </w:rPr>
        <w:t>Gbx</w:t>
      </w:r>
      <w:proofErr w:type="spellEnd"/>
      <w:r w:rsidRPr="00057CAF">
        <w:rPr>
          <w:lang w:val="fr-FR"/>
        </w:rPr>
        <w:t xml:space="preserve"> </w:t>
      </w:r>
      <w:proofErr w:type="spellStart"/>
      <w:r w:rsidRPr="00057CAF">
        <w:rPr>
          <w:lang w:val="fr-FR"/>
        </w:rPr>
        <w:t>AgroBio</w:t>
      </w:r>
      <w:proofErr w:type="spellEnd"/>
      <w:r w:rsidRPr="00057CAF">
        <w:rPr>
          <w:lang w:val="fr-FR"/>
        </w:rPr>
        <w:t xml:space="preserve"> Tech) travaille sur un échantillon différent pour l’évaluation des effets des aides, à savoir les dossiers introduits sous le nouveau régime 2014-2020 qui ont reçu au moins un premier paiement. Il s’agit de 1292 dossiers, correspondant à 804 exploitations (voir tableau ci-après).</w:t>
      </w:r>
    </w:p>
    <w:p w:rsidR="00432D1B" w:rsidRDefault="00432D1B" w:rsidP="00432D1B">
      <w:r w:rsidRPr="00B66BCB">
        <w:rPr>
          <w:noProof/>
          <w:lang w:val="fr-FR"/>
        </w:rPr>
        <w:drawing>
          <wp:inline distT="0" distB="0" distL="0" distR="0" wp14:anchorId="637E1FBC" wp14:editId="46D428FF">
            <wp:extent cx="5978564"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7996" cy="2450404"/>
                    </a:xfrm>
                    <a:prstGeom prst="rect">
                      <a:avLst/>
                    </a:prstGeom>
                    <a:noFill/>
                    <a:ln>
                      <a:noFill/>
                    </a:ln>
                  </pic:spPr>
                </pic:pic>
              </a:graphicData>
            </a:graphic>
          </wp:inline>
        </w:drawing>
      </w:r>
    </w:p>
    <w:p w:rsidR="006C4767" w:rsidRDefault="006C4767" w:rsidP="006C4767">
      <w:pPr>
        <w:pStyle w:val="Titre1"/>
      </w:pPr>
      <w:bookmarkStart w:id="164" w:name="_Toc25688811"/>
      <w:bookmarkStart w:id="165" w:name="_GoBack"/>
      <w:bookmarkEnd w:id="165"/>
      <w:r>
        <w:lastRenderedPageBreak/>
        <w:t>Annexe 11. QEC 4</w:t>
      </w:r>
      <w:bookmarkEnd w:id="164"/>
    </w:p>
    <w:p w:rsidR="006C4767" w:rsidRPr="006C4767" w:rsidRDefault="006C4767" w:rsidP="006C4767">
      <w:pPr>
        <w:pStyle w:val="Titre4"/>
      </w:pPr>
      <w:r w:rsidRPr="006C4767">
        <w:t>Méthodes d’analyse appliquées et limites</w:t>
      </w:r>
    </w:p>
    <w:p w:rsidR="006C4767" w:rsidRPr="00057CAF" w:rsidRDefault="006C4767" w:rsidP="006C4767">
      <w:pPr>
        <w:rPr>
          <w:rFonts w:cs="Calibri"/>
          <w:szCs w:val="24"/>
          <w:lang w:val="fr-FR"/>
        </w:rPr>
      </w:pPr>
      <w:r w:rsidRPr="006C4767">
        <w:rPr>
          <w:rFonts w:cs="Calibri"/>
          <w:szCs w:val="24"/>
          <w:lang w:val="fr-FR"/>
        </w:rPr>
        <w:t xml:space="preserve">L’approche quantitative se base sur les principes de l’évaluation d’impact contrefactuelle en situation quasi-expérimentale. </w:t>
      </w:r>
      <w:r w:rsidRPr="00057CAF">
        <w:rPr>
          <w:rFonts w:cs="Calibri"/>
          <w:szCs w:val="24"/>
          <w:lang w:val="fr-FR"/>
        </w:rPr>
        <w:t xml:space="preserve">La méthode appliquée est celle de la double différence par paire permettant d’estimer les effets de la mesure sur les bénéficiaires. Pour ce faire, elle est précédée par un appariement des exploitations bénéficiaires et non bénéficiaires afin de rendre les deux échantillons comparables entre eux sur base de caractéristiques structurelles (OTE, taille économique, SAU, taille du cheptel, main-d’œuvre totale). </w:t>
      </w:r>
    </w:p>
    <w:p w:rsidR="006C4767" w:rsidRPr="00057CAF"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szCs w:val="24"/>
          <w:lang w:val="fr-FR"/>
        </w:rPr>
        <w:t xml:space="preserve">Le bilan en termes de dossiers clôturés (totalement finalisés au 31/12/2018) est limité. Dès lors, pour les travaux évaluatifs, la perspective des dossiers engagés sous le nouveau régime 2014-2020 qui ont reçu au moins un premier paiement a été adoptée. </w:t>
      </w: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szCs w:val="24"/>
          <w:lang w:val="fr-FR"/>
        </w:rPr>
        <w:t>Le croisement de la base de données administratives des aides à la modernisation (1292 dossiers pour 804 agriculteurs) et de la base de données comptables du RICA-Wallonie (486 exploitations en échantillon constant) a permis de constituer un échantillon de 35 exploitations bénéficiaires pour lesquelles des données comptables harmonisées sont disponibles. Elles ont été appariées à 35 exploitations non bénéficiaires constituant l’échantillon contrefactuel (voir tableau ci-dessous) sur base de la situation prévalant en 2014 (année de référence).</w:t>
      </w: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szCs w:val="24"/>
          <w:lang w:val="fr-FR"/>
        </w:rPr>
        <w:t>La taille restreinte de ces échantillons ainsi que leur composition limitent fortement la portée de l’exercice tant sur le plan de la validité des tests statistiques que sur le plan de la représentativité des différents secteurs de spécialisation des fermes wallonnes. Afin d’en améliorer la pertinence, l’analyse des effets nets sera centrée sur les OTE herbivores qui regroupent 27 exploitations, les autres OTE présentant des effectifs trop faibles. Par ailleurs, les dernières données comptables disponibles au moment de cette évaluation sont celles de 2017. Le nouveau régime d’aide, sur lequel se base cette analyse, étant entré en vigueur en 2016, cet intervalle de temps offre un recul temporel très réduit pour mesurer les effets des investissements réalisés.</w:t>
      </w:r>
    </w:p>
    <w:p w:rsidR="006C4767" w:rsidRPr="006C4767" w:rsidRDefault="006C4767" w:rsidP="006C4767">
      <w:pPr>
        <w:rPr>
          <w:lang w:val="fr-FR"/>
        </w:rPr>
      </w:pPr>
    </w:p>
    <w:p w:rsidR="006C4767" w:rsidRPr="006C4767" w:rsidRDefault="006C4767" w:rsidP="006C4767">
      <w:pPr>
        <w:rPr>
          <w:rFonts w:cs="Calibri"/>
          <w:szCs w:val="24"/>
          <w:lang w:val="fr-FR"/>
        </w:rPr>
      </w:pPr>
      <w:r w:rsidRPr="006C4767">
        <w:rPr>
          <w:rFonts w:cs="Calibri"/>
          <w:szCs w:val="24"/>
          <w:lang w:val="fr-FR"/>
        </w:rPr>
        <w:t xml:space="preserve">En mars 2019, une </w:t>
      </w:r>
      <w:r w:rsidRPr="006C4767">
        <w:rPr>
          <w:rFonts w:cs="Calibri"/>
          <w:b/>
          <w:szCs w:val="24"/>
          <w:lang w:val="fr-FR"/>
        </w:rPr>
        <w:t>enquête électronique en ligne</w:t>
      </w:r>
      <w:r w:rsidRPr="006C4767">
        <w:rPr>
          <w:rFonts w:cs="Calibri"/>
          <w:szCs w:val="24"/>
          <w:lang w:val="fr-FR"/>
        </w:rPr>
        <w:t xml:space="preserve"> a été administrée auprès d’un échantillon d’agriculteurs bénéficiaires de l’aide à la modernisation afin de mieux cerner la diversité des stratégies mises en œuvre au sein des exploitations aidées et d’enrichir les enseignements tirés de l’analyse contrefactuelle en abordant, de manière qualitative, l’appréciation des performances économiques, de la viabilité, de l’orientation vers le(s) marché(s), de la diversification des activités et sources de revenus. Le taux de réponse relativement élevé (356 réponses complètes) conforte la validité statistique des données récoltées mais, les questionnaires ayant été complétés de manière volontaire, la généralisation des résultats à l’ensemble de la population ciblée doit être réalisée avec précaution. </w:t>
      </w: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szCs w:val="24"/>
          <w:lang w:val="fr-FR"/>
        </w:rPr>
        <w:t xml:space="preserve">Enfin, courant mai 2019, des </w:t>
      </w:r>
      <w:r w:rsidRPr="006C4767">
        <w:rPr>
          <w:rFonts w:cs="Calibri"/>
          <w:b/>
          <w:szCs w:val="24"/>
          <w:lang w:val="fr-FR"/>
        </w:rPr>
        <w:t>entretiens avec des organisations professionnelles agricoles</w:t>
      </w:r>
      <w:r w:rsidRPr="006C4767">
        <w:rPr>
          <w:rFonts w:cs="Calibri"/>
          <w:szCs w:val="24"/>
          <w:lang w:val="fr-FR"/>
        </w:rPr>
        <w:t xml:space="preserve"> (OPA) proches du terrain ont été réalisés afin de trianguler les informations et de valider voire nuancer l’interprétation des résultats. </w:t>
      </w: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noProof/>
          <w:szCs w:val="24"/>
          <w:lang w:val="fr-FR"/>
        </w:rPr>
        <w:lastRenderedPageBreak/>
        <mc:AlternateContent>
          <mc:Choice Requires="wps">
            <w:drawing>
              <wp:anchor distT="45720" distB="45720" distL="114300" distR="114300" simplePos="0" relativeHeight="251662336" behindDoc="0" locked="0" layoutInCell="1" allowOverlap="1" wp14:anchorId="0395A4F2" wp14:editId="49825123">
                <wp:simplePos x="0" y="0"/>
                <wp:positionH relativeFrom="column">
                  <wp:posOffset>3134360</wp:posOffset>
                </wp:positionH>
                <wp:positionV relativeFrom="paragraph">
                  <wp:posOffset>0</wp:posOffset>
                </wp:positionV>
                <wp:extent cx="2362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noFill/>
                          <a:miter lim="800000"/>
                          <a:headEnd/>
                          <a:tailEnd/>
                        </a:ln>
                      </wps:spPr>
                      <wps:txbx>
                        <w:txbxContent>
                          <w:p w:rsidR="00E9242B" w:rsidRPr="006C4767" w:rsidRDefault="00E9242B">
                            <w:pPr>
                              <w:rPr>
                                <w:b/>
                              </w:rPr>
                            </w:pPr>
                            <w:r w:rsidRPr="006C4767">
                              <w:rPr>
                                <w:b/>
                              </w:rPr>
                              <w:t xml:space="preserve">Figure 1 – </w:t>
                            </w:r>
                            <w:proofErr w:type="spellStart"/>
                            <w:r w:rsidRPr="006C4767">
                              <w:rPr>
                                <w:b/>
                              </w:rPr>
                              <w:t>Profil</w:t>
                            </w:r>
                            <w:proofErr w:type="spellEnd"/>
                            <w:r w:rsidRPr="006C4767">
                              <w:rPr>
                                <w:b/>
                              </w:rPr>
                              <w:t xml:space="preserve"> des </w:t>
                            </w:r>
                            <w:proofErr w:type="spellStart"/>
                            <w:r w:rsidRPr="006C4767">
                              <w:rPr>
                                <w:b/>
                              </w:rPr>
                              <w:t>bénéficiaires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95A4F2" id="_x0000_t202" coordsize="21600,21600" o:spt="202" path="m,l,21600r21600,l21600,xe">
                <v:stroke joinstyle="miter"/>
                <v:path gradientshapeok="t" o:connecttype="rect"/>
              </v:shapetype>
              <v:shape id="Text Box 2" o:spid="_x0000_s1026" type="#_x0000_t202" style="position:absolute;left:0;text-align:left;margin-left:246.8pt;margin-top:0;width:186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h+IAIAAB4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" stroked="f">
                <v:textbox style="mso-fit-shape-to-text:t">
                  <w:txbxContent>
                    <w:p w:rsidR="00E9242B" w:rsidRPr="006C4767" w:rsidRDefault="00E9242B">
                      <w:pPr>
                        <w:rPr>
                          <w:b/>
                        </w:rPr>
                      </w:pPr>
                      <w:r w:rsidRPr="006C4767">
                        <w:rPr>
                          <w:b/>
                        </w:rPr>
                        <w:t xml:space="preserve">Figure 1 – </w:t>
                      </w:r>
                      <w:proofErr w:type="spellStart"/>
                      <w:r w:rsidRPr="006C4767">
                        <w:rPr>
                          <w:b/>
                        </w:rPr>
                        <w:t>Profil</w:t>
                      </w:r>
                      <w:proofErr w:type="spellEnd"/>
                      <w:r w:rsidRPr="006C4767">
                        <w:rPr>
                          <w:b/>
                        </w:rPr>
                        <w:t xml:space="preserve"> des </w:t>
                      </w:r>
                      <w:proofErr w:type="spellStart"/>
                      <w:r w:rsidRPr="006C4767">
                        <w:rPr>
                          <w:b/>
                        </w:rPr>
                        <w:t>bénéficiaires</w:t>
                      </w:r>
                      <w:proofErr w:type="spellEnd"/>
                    </w:p>
                  </w:txbxContent>
                </v:textbox>
                <w10:wrap type="square"/>
              </v:shape>
            </w:pict>
          </mc:Fallback>
        </mc:AlternateContent>
      </w:r>
      <w:r w:rsidRPr="006C4767">
        <w:rPr>
          <w:noProof/>
          <w:lang w:val="fr-FR"/>
        </w:rPr>
        <w:drawing>
          <wp:anchor distT="0" distB="0" distL="114300" distR="114300" simplePos="0" relativeHeight="251659264" behindDoc="0" locked="0" layoutInCell="1" allowOverlap="1" wp14:anchorId="7A0C0015" wp14:editId="6284AA0B">
            <wp:simplePos x="0" y="0"/>
            <wp:positionH relativeFrom="margin">
              <wp:posOffset>3114040</wp:posOffset>
            </wp:positionH>
            <wp:positionV relativeFrom="paragraph">
              <wp:posOffset>323850</wp:posOffset>
            </wp:positionV>
            <wp:extent cx="2515870" cy="215582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5870"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767">
        <w:rPr>
          <w:rFonts w:cs="Calibri"/>
          <w:szCs w:val="24"/>
          <w:lang w:val="fr-FR"/>
        </w:rPr>
        <w:t>Le tableau ci-contre dresse le profil des répondants à l’enquête. On peut ajouter que les répondants sont tous agriculteurs à titre principal et que la dynamique d’investissement impulsée par ce régime d’aide concerne des exploitants qui se projettent dans leur activité à un horizon de plus de 10 ans (80% des R) ou qui ont un successeur (6% des R). Cette perspective est à mettre en relation avec la structure d’âges des répondants qui montre que 74% d’entre eux ont moins de 50 ans. Il est en outre important de signaler que 40% des répondants bénéficiaires de l’aide à la modernisation sont également bénéficiaires de l’aide à l’installation ; ce qui témoigne comme évoqué plus haut de la complémentarité de ces deux régimes d’aide pour les jeunes.</w:t>
      </w: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szCs w:val="24"/>
          <w:lang w:val="fr-FR"/>
        </w:rPr>
        <w:t>Les résultats de l’enquête mettent en évidence une SAU moyenne et un cheptel bovin moyen nettement plus élevés pour les exploitations qui ont reçu l’aide à la modernisation en comparaison avec les dernières statistiques</w:t>
      </w:r>
      <w:r w:rsidRPr="006C4767">
        <w:rPr>
          <w:rFonts w:cs="Calibri"/>
          <w:szCs w:val="24"/>
          <w:vertAlign w:val="superscript"/>
          <w:lang w:val="fr-FR"/>
        </w:rPr>
        <w:footnoteReference w:id="15"/>
      </w:r>
      <w:r w:rsidRPr="006C4767">
        <w:rPr>
          <w:rFonts w:cs="Calibri"/>
          <w:szCs w:val="24"/>
          <w:lang w:val="fr-FR"/>
        </w:rPr>
        <w:t xml:space="preserve"> estimées pour la Région wallonne se rapportant à l’année 2017. Certains OP expliquent cette différence par le fait que le système ADISA ne favorise pas l’accès à l’aide à la modernisation pour un nombre important de petites exploitations.</w:t>
      </w: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szCs w:val="24"/>
          <w:lang w:val="fr-FR"/>
        </w:rPr>
        <w:t>Comparée aux statistiques régionales, la répartition des répondants selon l’OTE montre que les OTE « bovin lait » (22%/15%) et « mixtes culture-herbivores » (19%/12%) sont nettement mieux représentées dans l’enquête alors que les OTE grandes cultures le sont nettement moins (19%/32%). Notons que pour l’OTE « bovin viande » on reste dans des proportions similaires, proches de 20%.</w:t>
      </w: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szCs w:val="24"/>
          <w:lang w:val="fr-FR"/>
        </w:rPr>
        <w:t>Sur l’ensemble des 356 répondants, 938 investissements aidés ont été rapportés, soient 2,6 par répondant. Parmi ceux-ci, 35% concernent l’achat de machines agricoles. Il est intéressant de noter que, dans 2 cas sur 5, les répondants déclarent que ces machines visent la lutte mécanique ou l’agriculture de précision ou le non-labour. Les bâtiments d’élevage rassemblent 21% du nombre d’investissements recensés. Il s’agit majoritairement de bâtiments d’élevage bovin (18%). L’achat d’équipement destiné à l’élevage est également fréquemment cité (19%). Les autres bâtiments agricoles regroupent 14% des investissements dénombrés. Pour le reste, les investissements relatifs à la production d’énergie verte et à la diversification (essentiellement agricole) comptabilisent respectivement 3 et 4% des investissements recensés.</w:t>
      </w:r>
    </w:p>
    <w:p w:rsidR="006C4767" w:rsidRPr="006C4767" w:rsidRDefault="006C4767" w:rsidP="006C4767">
      <w:pPr>
        <w:spacing w:before="360" w:after="240"/>
        <w:outlineLvl w:val="4"/>
        <w:rPr>
          <w:b/>
          <w:u w:val="single"/>
          <w:lang w:val="fr-FR"/>
        </w:rPr>
      </w:pPr>
      <w:r w:rsidRPr="006C4767">
        <w:rPr>
          <w:b/>
          <w:u w:val="single"/>
          <w:lang w:val="fr-FR"/>
        </w:rPr>
        <w:t>Effets sur la durabilité environnementale des modes de production</w:t>
      </w:r>
    </w:p>
    <w:p w:rsidR="006C4767" w:rsidRPr="006C4767" w:rsidRDefault="006C4767" w:rsidP="006C4767">
      <w:pPr>
        <w:rPr>
          <w:rFonts w:cs="Calibri"/>
          <w:szCs w:val="24"/>
          <w:lang w:val="fr-FR"/>
        </w:rPr>
      </w:pPr>
      <w:r w:rsidRPr="006C4767">
        <w:rPr>
          <w:rFonts w:cs="Calibri"/>
          <w:szCs w:val="24"/>
          <w:lang w:val="fr-FR"/>
        </w:rPr>
        <w:t>Si l’amélioration de l’impact environnemental du mode de production constitue rarement une des motivations prioritaires à recourir à l’aide à la modernisation (14% des R), 92% des répondants estiment que les investissements aidés réalisés contribuent effectivement à la préservation de l’environnement. Il est intéressant de noter que, dans 2 cas sur 5, les répondants qui ont investi dans des machines agricoles (35% des investissements recensés à travers l’enquête) déclarent que ces machines visent la lutte mécanique ou l’agriculture de précision ou le non-labour.</w:t>
      </w: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szCs w:val="24"/>
          <w:lang w:val="fr-FR"/>
        </w:rPr>
        <w:t xml:space="preserve">Beaucoup considèrent que leurs modes de production sont désormais plus respectueux de l’environnement (75% des R) et que leurs pratiques préservent la qualité de l’eau (58% des R). </w:t>
      </w:r>
      <w:r w:rsidRPr="006C4767">
        <w:rPr>
          <w:rFonts w:cs="Calibri"/>
          <w:szCs w:val="24"/>
          <w:lang w:val="fr-FR"/>
        </w:rPr>
        <w:lastRenderedPageBreak/>
        <w:t xml:space="preserve">Ainsi, dans le cadre de la modernisation de leur exploitation, certains mettent en œuvre des pratiques qui réduisent leur dépendance aux pesticides (23% des R) et aux herbicides (17% des R). L’adoption de l’agriculture de précision (31% des R) ou de certains aménagements permettant de réduire les émissions de gaz polluants d’origine agricole (31% des R) ou de filtrer l’air des bâtiments d’élevage (14% des R) concourent également à respecter davantage l’environnement.  </w:t>
      </w: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szCs w:val="24"/>
          <w:lang w:val="fr-FR"/>
        </w:rPr>
        <w:t>On peut également souligner que près de la moitié des répondants (48% des R) estiment que leurs dépenses en énergie ont pu être réduites notamment, pour certains, grâce à la production d’énergie renouvelable (23% des R).</w:t>
      </w:r>
    </w:p>
    <w:p w:rsidR="006C4767" w:rsidRPr="006C4767" w:rsidRDefault="006C4767" w:rsidP="006C4767">
      <w:pPr>
        <w:spacing w:before="360" w:after="240"/>
        <w:outlineLvl w:val="4"/>
        <w:rPr>
          <w:b/>
          <w:u w:val="single"/>
          <w:lang w:val="fr-FR"/>
        </w:rPr>
      </w:pPr>
      <w:r w:rsidRPr="006C4767">
        <w:rPr>
          <w:b/>
          <w:u w:val="single"/>
          <w:lang w:val="fr-FR"/>
        </w:rPr>
        <w:t xml:space="preserve">Evaluation de l’accessibilité aux aides par toutes les exploitations agricoles </w:t>
      </w:r>
    </w:p>
    <w:p w:rsidR="006C4767" w:rsidRPr="006C4767" w:rsidRDefault="006C4767" w:rsidP="006C4767">
      <w:pPr>
        <w:rPr>
          <w:rFonts w:cs="Calibri"/>
          <w:szCs w:val="24"/>
          <w:lang w:val="fr-FR"/>
        </w:rPr>
      </w:pPr>
      <w:proofErr w:type="gramStart"/>
      <w:r w:rsidRPr="006C4767">
        <w:rPr>
          <w:rFonts w:cs="Calibri"/>
          <w:szCs w:val="24"/>
          <w:lang w:val="fr-FR"/>
        </w:rPr>
        <w:t>Suite aux</w:t>
      </w:r>
      <w:proofErr w:type="gramEnd"/>
      <w:r w:rsidRPr="006C4767">
        <w:rPr>
          <w:rFonts w:cs="Calibri"/>
          <w:szCs w:val="24"/>
          <w:lang w:val="fr-FR"/>
        </w:rPr>
        <w:t xml:space="preserve"> entretiens avec des membres d’OP, quelques considérations complémentaires ont été relevées en lien avec l’accessibilité aux aides à la modernisation par les différentes catégories d’exploitations agricoles et, partant, avec la contribution des aides à l’amélioration de leurs performances économiques.</w:t>
      </w:r>
    </w:p>
    <w:p w:rsidR="006C4767" w:rsidRPr="006C4767" w:rsidRDefault="006C4767" w:rsidP="006C4767">
      <w:pPr>
        <w:rPr>
          <w:rFonts w:cs="Calibri"/>
          <w:szCs w:val="24"/>
          <w:lang w:val="fr-FR"/>
        </w:rPr>
      </w:pPr>
    </w:p>
    <w:p w:rsidR="006C4767" w:rsidRPr="006C4767" w:rsidRDefault="006C4767" w:rsidP="006C4767">
      <w:pPr>
        <w:outlineLvl w:val="5"/>
        <w:rPr>
          <w:b/>
          <w:i/>
          <w:lang w:val="fr-FR"/>
        </w:rPr>
      </w:pPr>
      <w:r w:rsidRPr="006C4767">
        <w:rPr>
          <w:b/>
          <w:i/>
          <w:lang w:val="fr-FR"/>
        </w:rPr>
        <w:t>L’accès aux aides selon les OTE</w:t>
      </w: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szCs w:val="24"/>
          <w:lang w:val="fr-FR"/>
        </w:rPr>
        <w:t xml:space="preserve">Les membres d’OP interviewés, il n’apparait pas contradictoire qu’une proportion plus élevée d’exploitations aidées concerne les OTE spécialisées en productions bovines et les exploitations mixtes cultures-herbivores en comparaison avec les OTE grandes cultures, alors que la moyenne d’aide à l’investissement par dossier et par exploitation serait quand même plus élevée pour l’OTE grande culture. Cela s’explique en particulier par le fait que les investissements dans ce dernier type d’OTE sont généralement en moyenne plus élevés et qu’au début de la mise en œuvre d’ADISA (du 4ème trimestre 2015 au 3ème trimestre 2017), les enveloppes budgétaires trimestrielles étaient plus importantes avec une assez faible intensité de sélection des dossiers. Cette situation aurait pu favoriser une certaine « course » au matériel/équipement, parfois attisée par certains vendeurs, au détriment d’une réflexion plus approfondie sur l’opportunité de l’investissement pour permettre une amélioration optimale des performances économiques auxquelles il doit contribuer. L’impossibilité d’accéder à de l’aide pour du matériel et équipement d’occasion (vu la nécessité de prouver qu’il n’a pas déjà fait l’objet d’aide, ce qui serait très complexe à mettre en place) est aussi perçue comme pouvant contribuer à une certaine « course » au matériel/équipement neuf. </w:t>
      </w: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szCs w:val="24"/>
          <w:lang w:val="fr-FR"/>
        </w:rPr>
        <w:t>A partir du 4ème trimestre 2017, le processus de sélection des dossiers en fonction de leur notation de critères et de l’importance relative de l’investissement (haute, moyenne, faible) s’est intensifié. Il s’est accentué en 2018, avec la fixation de maximum admissible par type d’investissement (Arrêté ministériel du 19/07/2018 publié au moniteur le 5/10/2018) liée à une volonté de mieux évaluer le caractère « raisonnable du coût de l’investissement ».</w:t>
      </w: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szCs w:val="24"/>
          <w:lang w:val="fr-FR"/>
        </w:rPr>
        <w:t>Les investissements structurants (étables, certains équipements/matériels) dont ont pu bénéficier des OTE bovin lait ont été jugés importants pour faciliter leur adaptation à la fin des quotas laitiers (avril 2015) conduisant certaines d’entre elles à moderniser leur outil de production en vue d’améliorer leurs performances économiques.</w:t>
      </w: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szCs w:val="24"/>
          <w:lang w:val="fr-FR"/>
        </w:rPr>
        <w:t>Les investissements structurants dont ont bénéficié les OTE bovin viande ont également été appréciés positivement quant à la modernisation de l’outil de production et l’amélioration des performances économiques.</w:t>
      </w:r>
    </w:p>
    <w:p w:rsidR="006C4767" w:rsidRPr="006C4767" w:rsidRDefault="006C4767" w:rsidP="006C4767">
      <w:pPr>
        <w:rPr>
          <w:rFonts w:cs="Calibri"/>
          <w:szCs w:val="24"/>
          <w:lang w:val="fr-FR"/>
        </w:rPr>
      </w:pPr>
    </w:p>
    <w:p w:rsidR="006C4767" w:rsidRPr="006C4767" w:rsidRDefault="006C4767" w:rsidP="006C4767">
      <w:pPr>
        <w:outlineLvl w:val="5"/>
        <w:rPr>
          <w:b/>
          <w:i/>
          <w:lang w:val="fr-FR"/>
        </w:rPr>
      </w:pPr>
      <w:r w:rsidRPr="006C4767">
        <w:rPr>
          <w:b/>
          <w:i/>
          <w:lang w:val="fr-FR"/>
        </w:rPr>
        <w:t>L’accès aux aides selon les âges</w:t>
      </w:r>
    </w:p>
    <w:p w:rsidR="006C4767" w:rsidRPr="006C4767" w:rsidRDefault="006C4767" w:rsidP="006C4767">
      <w:pPr>
        <w:rPr>
          <w:rFonts w:cs="Calibri"/>
          <w:szCs w:val="24"/>
          <w:lang w:val="fr-FR"/>
        </w:rPr>
      </w:pPr>
    </w:p>
    <w:p w:rsidR="006C4767" w:rsidRDefault="006C4767" w:rsidP="006C4767">
      <w:pPr>
        <w:rPr>
          <w:rFonts w:cs="Calibri"/>
          <w:szCs w:val="24"/>
          <w:lang w:val="fr-FR"/>
        </w:rPr>
      </w:pPr>
      <w:r w:rsidRPr="006C4767">
        <w:rPr>
          <w:rFonts w:cs="Calibri"/>
          <w:szCs w:val="24"/>
          <w:lang w:val="fr-FR"/>
        </w:rPr>
        <w:t xml:space="preserve">Une forte sélection des dossiers dans un contexte de budget trimestriel plus réduit conduit à retenir des dossiers </w:t>
      </w:r>
      <w:proofErr w:type="gramStart"/>
      <w:r w:rsidRPr="006C4767">
        <w:rPr>
          <w:rFonts w:cs="Calibri"/>
          <w:szCs w:val="24"/>
          <w:lang w:val="fr-FR"/>
        </w:rPr>
        <w:t>biens</w:t>
      </w:r>
      <w:proofErr w:type="gramEnd"/>
      <w:r w:rsidRPr="006C4767">
        <w:rPr>
          <w:rFonts w:cs="Calibri"/>
          <w:szCs w:val="24"/>
          <w:lang w:val="fr-FR"/>
        </w:rPr>
        <w:t xml:space="preserve"> notés cumulant des majorations d’aide. Cette situation est nettement plus </w:t>
      </w:r>
      <w:r w:rsidRPr="006C4767">
        <w:rPr>
          <w:rFonts w:cs="Calibri"/>
          <w:szCs w:val="24"/>
          <w:lang w:val="fr-FR"/>
        </w:rPr>
        <w:lastRenderedPageBreak/>
        <w:t xml:space="preserve">favorable aux agriculteurs de moins de 40 ans et, d’ici la fin 2020, l’accès à l’aide à la modernisation aux agriculteurs de plus de 40 ans devrait rester assez fortement limité. La nécessité d’aider des agriculteurs plus jeunes et en particulier favoriser l’accès à l’aide à la modernisation aux jeunes qui s’installent reste cependant bien reconnue. </w:t>
      </w:r>
    </w:p>
    <w:p w:rsidR="006C4767" w:rsidRDefault="006C4767" w:rsidP="006C4767">
      <w:pPr>
        <w:rPr>
          <w:rFonts w:cs="Calibri"/>
          <w:szCs w:val="24"/>
          <w:lang w:val="fr-FR"/>
        </w:rPr>
      </w:pPr>
      <w:r>
        <w:rPr>
          <w:noProof/>
          <w:lang w:val="fr-FR"/>
        </w:rPr>
        <mc:AlternateContent>
          <mc:Choice Requires="wps">
            <w:drawing>
              <wp:anchor distT="0" distB="0" distL="114300" distR="114300" simplePos="0" relativeHeight="251664384" behindDoc="0" locked="0" layoutInCell="1" allowOverlap="1" wp14:anchorId="4C8ED752" wp14:editId="26155EB0">
                <wp:simplePos x="0" y="0"/>
                <wp:positionH relativeFrom="margin">
                  <wp:posOffset>357505</wp:posOffset>
                </wp:positionH>
                <wp:positionV relativeFrom="paragraph">
                  <wp:posOffset>55245</wp:posOffset>
                </wp:positionV>
                <wp:extent cx="4813935" cy="219075"/>
                <wp:effectExtent l="0" t="0" r="5715" b="9525"/>
                <wp:wrapThrough wrapText="bothSides">
                  <wp:wrapPolygon edited="0">
                    <wp:start x="0" y="0"/>
                    <wp:lineTo x="0" y="20661"/>
                    <wp:lineTo x="21540" y="20661"/>
                    <wp:lineTo x="21540"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4813935" cy="219075"/>
                        </a:xfrm>
                        <a:prstGeom prst="rect">
                          <a:avLst/>
                        </a:prstGeom>
                        <a:solidFill>
                          <a:prstClr val="white"/>
                        </a:solidFill>
                        <a:ln>
                          <a:noFill/>
                        </a:ln>
                        <a:effectLst/>
                      </wps:spPr>
                      <wps:txbx>
                        <w:txbxContent>
                          <w:p w:rsidR="00E9242B" w:rsidRPr="00057CAF" w:rsidRDefault="00E9242B" w:rsidP="006C4767">
                            <w:pPr>
                              <w:pStyle w:val="Lgende"/>
                              <w:rPr>
                                <w:rFonts w:ascii="Garamond" w:eastAsia="Times New Roman" w:hAnsi="Garamond" w:cs="Times New Roman"/>
                                <w:noProof/>
                                <w:color w:val="auto"/>
                                <w:sz w:val="24"/>
                                <w:szCs w:val="24"/>
                                <w:lang w:val="fr-FR"/>
                              </w:rPr>
                            </w:pPr>
                            <w:r w:rsidRPr="00057CAF">
                              <w:rPr>
                                <w:rFonts w:ascii="Garamond" w:hAnsi="Garamond"/>
                                <w:color w:val="auto"/>
                                <w:sz w:val="24"/>
                                <w:szCs w:val="24"/>
                                <w:lang w:val="fr-FR"/>
                              </w:rPr>
                              <w:t>Figure 2 – Commentaires libres issus de l’enquête en ligne de mars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ED752" id="Text Box 24" o:spid="_x0000_s1027" type="#_x0000_t202" style="position:absolute;left:0;text-align:left;margin-left:28.15pt;margin-top:4.35pt;width:379.05pt;height:1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" stroked="f">
                <v:textbox inset="0,0,0,0">
                  <w:txbxContent>
                    <w:p w:rsidR="00E9242B" w:rsidRPr="00057CAF" w:rsidRDefault="00E9242B" w:rsidP="006C4767">
                      <w:pPr>
                        <w:pStyle w:val="Lgende"/>
                        <w:rPr>
                          <w:rFonts w:ascii="Garamond" w:eastAsia="Times New Roman" w:hAnsi="Garamond" w:cs="Times New Roman"/>
                          <w:noProof/>
                          <w:color w:val="auto"/>
                          <w:sz w:val="24"/>
                          <w:szCs w:val="24"/>
                          <w:lang w:val="fr-FR"/>
                        </w:rPr>
                      </w:pPr>
                      <w:r w:rsidRPr="00057CAF">
                        <w:rPr>
                          <w:rFonts w:ascii="Garamond" w:hAnsi="Garamond"/>
                          <w:color w:val="auto"/>
                          <w:sz w:val="24"/>
                          <w:szCs w:val="24"/>
                          <w:lang w:val="fr-FR"/>
                        </w:rPr>
                        <w:t>Figure 2 – Commentaires libres issus de l’enquête en ligne de mars 2019</w:t>
                      </w:r>
                    </w:p>
                  </w:txbxContent>
                </v:textbox>
                <w10:wrap type="through" anchorx="margin"/>
              </v:shape>
            </w:pict>
          </mc:Fallback>
        </mc:AlternateContent>
      </w:r>
    </w:p>
    <w:p w:rsidR="006C4767" w:rsidRPr="006C4767" w:rsidRDefault="006C4767" w:rsidP="006C4767">
      <w:pPr>
        <w:rPr>
          <w:rFonts w:cs="Calibri"/>
          <w:szCs w:val="24"/>
          <w:lang w:val="fr-FR"/>
        </w:rPr>
      </w:pPr>
    </w:p>
    <w:p w:rsidR="006C4767" w:rsidRPr="006C4767" w:rsidRDefault="006C4767" w:rsidP="006C4767">
      <w:pPr>
        <w:jc w:val="right"/>
        <w:rPr>
          <w:rFonts w:cs="Calibri"/>
          <w:szCs w:val="24"/>
          <w:lang w:val="fr-FR"/>
        </w:rPr>
      </w:pPr>
      <w:r w:rsidRPr="006C4767">
        <w:rPr>
          <w:noProof/>
          <w:lang w:val="fr-FR"/>
        </w:rPr>
        <w:drawing>
          <wp:anchor distT="0" distB="0" distL="114300" distR="114300" simplePos="0" relativeHeight="251660288" behindDoc="0" locked="0" layoutInCell="1" allowOverlap="1" wp14:anchorId="01E6514E" wp14:editId="7BC9DFB8">
            <wp:simplePos x="0" y="0"/>
            <wp:positionH relativeFrom="margin">
              <wp:align>center</wp:align>
            </wp:positionH>
            <wp:positionV relativeFrom="paragraph">
              <wp:posOffset>87630</wp:posOffset>
            </wp:positionV>
            <wp:extent cx="4575810" cy="1529715"/>
            <wp:effectExtent l="0" t="0" r="0" b="0"/>
            <wp:wrapThrough wrapText="bothSides">
              <wp:wrapPolygon edited="0">
                <wp:start x="0" y="0"/>
                <wp:lineTo x="0" y="21250"/>
                <wp:lineTo x="19064" y="21250"/>
                <wp:lineTo x="19244" y="14526"/>
                <wp:lineTo x="18525" y="14257"/>
                <wp:lineTo x="9802" y="12912"/>
                <wp:lineTo x="21492" y="12374"/>
                <wp:lineTo x="21492" y="4035"/>
                <wp:lineTo x="1241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5810"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p>
    <w:p w:rsidR="006C4767" w:rsidRPr="006C4767" w:rsidRDefault="006C4767" w:rsidP="006C4767">
      <w:pPr>
        <w:rPr>
          <w:rFonts w:cs="Calibri"/>
          <w:szCs w:val="24"/>
          <w:lang w:val="fr-FR"/>
        </w:rPr>
      </w:pPr>
      <w:r w:rsidRPr="006C4767">
        <w:rPr>
          <w:rFonts w:cs="Calibri"/>
          <w:szCs w:val="24"/>
          <w:lang w:val="fr-FR"/>
        </w:rPr>
        <w:t>Mais cela n’exclut pas de continuer à mener des réflexions pour un plus large accès à l’aide et sur les niveaux de taux d’aide publique en les liant davantage à l’opportunité de l’investissement pour une amélioration optimale des performances économiques auxquelles il doit contribuer. La limitation de l’aide publique prévue dans le cadre d’ADISA et la fixation, au cours de l’actuelle programmation, de maximum admissible par type d’investissement vont dans le bon sens (caractère « raisonnable du coût de l’investissement »).</w:t>
      </w:r>
    </w:p>
    <w:p w:rsidR="006C4767" w:rsidRPr="006C4767" w:rsidRDefault="006C4767" w:rsidP="006C4767">
      <w:pPr>
        <w:keepNext/>
        <w:tabs>
          <w:tab w:val="left" w:pos="1026"/>
        </w:tabs>
        <w:spacing w:before="360" w:after="240"/>
        <w:ind w:left="1026" w:hanging="1026"/>
        <w:jc w:val="left"/>
        <w:outlineLvl w:val="3"/>
        <w:rPr>
          <w:rFonts w:ascii="Arial" w:hAnsi="Arial"/>
          <w:i/>
          <w:lang w:val="fr-FR"/>
        </w:rPr>
      </w:pPr>
      <w:r w:rsidRPr="006C4767">
        <w:rPr>
          <w:rFonts w:ascii="Arial" w:hAnsi="Arial"/>
          <w:i/>
          <w:lang w:val="fr-FR"/>
        </w:rPr>
        <w:t xml:space="preserve">Considérations générales sur le dispositif d’aide </w:t>
      </w:r>
    </w:p>
    <w:p w:rsidR="006C4767" w:rsidRPr="006C4767" w:rsidRDefault="006C4767" w:rsidP="006C4767">
      <w:pPr>
        <w:spacing w:before="360" w:after="240"/>
        <w:outlineLvl w:val="4"/>
        <w:rPr>
          <w:b/>
          <w:u w:val="single"/>
          <w:lang w:val="fr-FR"/>
        </w:rPr>
      </w:pPr>
      <w:r w:rsidRPr="006C4767">
        <w:rPr>
          <w:b/>
          <w:u w:val="single"/>
          <w:lang w:val="fr-FR"/>
        </w:rPr>
        <w:t>Le point de vue des bénéficiaires</w:t>
      </w:r>
    </w:p>
    <w:p w:rsidR="006C4767" w:rsidRPr="006C4767" w:rsidRDefault="006C4767" w:rsidP="006C4767">
      <w:pPr>
        <w:rPr>
          <w:szCs w:val="24"/>
          <w:lang w:val="fr-FR"/>
        </w:rPr>
      </w:pPr>
      <w:r w:rsidRPr="006C4767">
        <w:rPr>
          <w:szCs w:val="24"/>
          <w:lang w:val="fr-FR"/>
        </w:rPr>
        <w:t xml:space="preserve">Pour terminer l’enquête, les répondants étaient invités à exprimer leur appréciation du dispositif d’aide </w:t>
      </w:r>
      <w:r w:rsidRPr="006C4767">
        <w:rPr>
          <w:rFonts w:cs="Calibri"/>
          <w:szCs w:val="24"/>
          <w:lang w:val="fr-FR"/>
        </w:rPr>
        <w:t>à la modernisation.</w:t>
      </w:r>
      <w:r w:rsidRPr="006C4767">
        <w:rPr>
          <w:szCs w:val="24"/>
          <w:lang w:val="fr-FR"/>
        </w:rPr>
        <w:t xml:space="preserve"> 50% des répondants ont laissé un commentaire libre. L’analyse du contenu de ces commentaires est synthétisée ci-dessous et quelques extraits choisis illustrent les propos recueillis (voir les encarts).</w:t>
      </w:r>
    </w:p>
    <w:p w:rsidR="006C4767" w:rsidRPr="006C4767" w:rsidRDefault="006C4767" w:rsidP="006C4767">
      <w:pPr>
        <w:rPr>
          <w:szCs w:val="24"/>
          <w:lang w:val="fr-FR"/>
        </w:rPr>
      </w:pPr>
    </w:p>
    <w:p w:rsidR="006C4767" w:rsidRPr="006C4767" w:rsidRDefault="006C4767" w:rsidP="006C4767">
      <w:pPr>
        <w:rPr>
          <w:szCs w:val="24"/>
          <w:lang w:val="fr-FR"/>
        </w:rPr>
      </w:pPr>
      <w:r w:rsidRPr="006C4767">
        <w:rPr>
          <w:szCs w:val="24"/>
          <w:lang w:val="fr-FR"/>
        </w:rPr>
        <w:t xml:space="preserve">La lourdeur administrative (15%), la complexité des dossiers (12%), la longueur des délais relatifs au processus d’octroi (12%) puis au paiement des aides (11%) sont des thèmes qui reviennent le plus fréquemment dans les commentaires. </w:t>
      </w:r>
    </w:p>
    <w:p w:rsidR="006C4767" w:rsidRPr="006C4767" w:rsidRDefault="006C4767" w:rsidP="006C4767">
      <w:pPr>
        <w:rPr>
          <w:szCs w:val="24"/>
          <w:lang w:val="fr-FR"/>
        </w:rPr>
      </w:pPr>
    </w:p>
    <w:p w:rsidR="006C4767" w:rsidRDefault="006C4767" w:rsidP="006C4767">
      <w:pPr>
        <w:rPr>
          <w:szCs w:val="24"/>
          <w:lang w:val="fr-FR"/>
        </w:rPr>
      </w:pPr>
      <w:r w:rsidRPr="006C4767">
        <w:rPr>
          <w:szCs w:val="24"/>
          <w:lang w:val="fr-FR"/>
        </w:rPr>
        <w:t>Le souhait de cibler davantage les aides (6%) et de rendre le dispositif plus équitable (4%) a également été r</w:t>
      </w:r>
      <w:r>
        <w:rPr>
          <w:szCs w:val="24"/>
          <w:lang w:val="fr-FR"/>
        </w:rPr>
        <w:t>ecensé dans les commentaires.</w:t>
      </w:r>
    </w:p>
    <w:p w:rsidR="006C4767" w:rsidRDefault="006C4767" w:rsidP="006C4767">
      <w:pPr>
        <w:rPr>
          <w:szCs w:val="24"/>
          <w:lang w:val="fr-FR"/>
        </w:rPr>
      </w:pPr>
    </w:p>
    <w:p w:rsidR="006C4767" w:rsidRPr="006C4767" w:rsidRDefault="006C4767" w:rsidP="006C4767">
      <w:pPr>
        <w:rPr>
          <w:b/>
          <w:szCs w:val="24"/>
          <w:lang w:val="fr-FR"/>
        </w:rPr>
      </w:pPr>
      <w:r>
        <w:rPr>
          <w:b/>
          <w:szCs w:val="24"/>
          <w:lang w:val="fr-FR"/>
        </w:rPr>
        <w:t>Figure 3 – Commentaires libres issus de l’enquête en ligne de mars 2019</w:t>
      </w:r>
    </w:p>
    <w:p w:rsidR="006C4767" w:rsidRPr="006C4767" w:rsidRDefault="006C4767" w:rsidP="006C4767">
      <w:pPr>
        <w:rPr>
          <w:szCs w:val="24"/>
          <w:lang w:val="fr-FR"/>
        </w:rPr>
      </w:pPr>
    </w:p>
    <w:p w:rsidR="006C4767" w:rsidRPr="006C4767" w:rsidRDefault="006C4767" w:rsidP="006C4767">
      <w:pPr>
        <w:jc w:val="left"/>
        <w:rPr>
          <w:szCs w:val="24"/>
          <w:lang w:val="fr-FR"/>
        </w:rPr>
      </w:pPr>
      <w:r w:rsidRPr="006C4767">
        <w:rPr>
          <w:noProof/>
          <w:szCs w:val="24"/>
          <w:lang w:val="fr-FR"/>
        </w:rPr>
        <w:drawing>
          <wp:inline distT="0" distB="0" distL="0" distR="0" wp14:anchorId="0A989381" wp14:editId="1A5F776F">
            <wp:extent cx="4562475" cy="1257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62475" cy="1257300"/>
                    </a:xfrm>
                    <a:prstGeom prst="rect">
                      <a:avLst/>
                    </a:prstGeom>
                    <a:noFill/>
                    <a:ln>
                      <a:noFill/>
                    </a:ln>
                  </pic:spPr>
                </pic:pic>
              </a:graphicData>
            </a:graphic>
          </wp:inline>
        </w:drawing>
      </w:r>
    </w:p>
    <w:p w:rsidR="006C4767" w:rsidRPr="006C4767" w:rsidRDefault="006C4767" w:rsidP="006C4767">
      <w:pPr>
        <w:jc w:val="center"/>
        <w:rPr>
          <w:i/>
          <w:sz w:val="20"/>
          <w:lang w:val="fr-FR"/>
        </w:rPr>
      </w:pPr>
      <w:r w:rsidRPr="006C4767">
        <w:rPr>
          <w:noProof/>
          <w:szCs w:val="24"/>
          <w:lang w:val="fr-FR"/>
        </w:rPr>
        <w:lastRenderedPageBreak/>
        <w:drawing>
          <wp:inline distT="0" distB="0" distL="0" distR="0" wp14:anchorId="5B75A04F" wp14:editId="4A93DF60">
            <wp:extent cx="4572000" cy="108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1085850"/>
                    </a:xfrm>
                    <a:prstGeom prst="rect">
                      <a:avLst/>
                    </a:prstGeom>
                    <a:noFill/>
                    <a:ln>
                      <a:noFill/>
                    </a:ln>
                  </pic:spPr>
                </pic:pic>
              </a:graphicData>
            </a:graphic>
          </wp:inline>
        </w:drawing>
      </w:r>
      <w:r w:rsidRPr="006C4767">
        <w:rPr>
          <w:i/>
          <w:noProof/>
          <w:sz w:val="20"/>
          <w:lang w:val="fr-FR"/>
        </w:rPr>
        <w:drawing>
          <wp:inline distT="0" distB="0" distL="0" distR="0" wp14:anchorId="25ED3633" wp14:editId="18451194">
            <wp:extent cx="3762375" cy="18859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62375" cy="1885950"/>
                    </a:xfrm>
                    <a:prstGeom prst="rect">
                      <a:avLst/>
                    </a:prstGeom>
                    <a:noFill/>
                    <a:ln>
                      <a:noFill/>
                    </a:ln>
                  </pic:spPr>
                </pic:pic>
              </a:graphicData>
            </a:graphic>
          </wp:inline>
        </w:drawing>
      </w:r>
    </w:p>
    <w:p w:rsidR="006C4767" w:rsidRPr="006C4767" w:rsidRDefault="006C4767" w:rsidP="006C4767">
      <w:pPr>
        <w:rPr>
          <w:rFonts w:cs="Calibri"/>
          <w:szCs w:val="24"/>
          <w:lang w:val="fr-FR"/>
        </w:rPr>
      </w:pPr>
    </w:p>
    <w:p w:rsidR="006C4767" w:rsidRDefault="006C4767" w:rsidP="006C4767">
      <w:pPr>
        <w:rPr>
          <w:lang w:val="fr-FR"/>
        </w:rPr>
      </w:pPr>
    </w:p>
    <w:p w:rsidR="006C4767" w:rsidRDefault="006C4767">
      <w:pPr>
        <w:jc w:val="left"/>
        <w:rPr>
          <w:lang w:val="fr-FR"/>
        </w:rPr>
      </w:pPr>
      <w:r>
        <w:rPr>
          <w:lang w:val="fr-FR"/>
        </w:rPr>
        <w:br w:type="page"/>
      </w:r>
    </w:p>
    <w:p w:rsidR="006C4767" w:rsidRDefault="006C4767" w:rsidP="006C4767">
      <w:pPr>
        <w:pStyle w:val="Titre1"/>
      </w:pPr>
      <w:bookmarkStart w:id="166" w:name="_Toc25688812"/>
      <w:r>
        <w:lastRenderedPageBreak/>
        <w:t>Annexe 12. QEC 21</w:t>
      </w:r>
      <w:bookmarkEnd w:id="166"/>
    </w:p>
    <w:p w:rsidR="006C4767" w:rsidRPr="006C4767" w:rsidRDefault="006C4767" w:rsidP="006C4767">
      <w:pPr>
        <w:spacing w:before="360" w:after="240"/>
        <w:outlineLvl w:val="4"/>
        <w:rPr>
          <w:b/>
          <w:u w:val="single"/>
          <w:lang w:val="fr-FR"/>
        </w:rPr>
      </w:pPr>
      <w:r w:rsidRPr="002D7205">
        <w:rPr>
          <w:b/>
          <w:u w:val="single"/>
          <w:lang w:val="fr-FR"/>
        </w:rPr>
        <w:t xml:space="preserve">CJ1. Le nombre et type d'acteurs impliqués dans la mise en œuvre du </w:t>
      </w:r>
      <w:proofErr w:type="spellStart"/>
      <w:r w:rsidRPr="002D7205">
        <w:rPr>
          <w:b/>
          <w:u w:val="single"/>
          <w:lang w:val="fr-FR"/>
        </w:rPr>
        <w:t>PwDR</w:t>
      </w:r>
      <w:proofErr w:type="spellEnd"/>
      <w:r w:rsidRPr="002D7205">
        <w:rPr>
          <w:b/>
          <w:u w:val="single"/>
          <w:lang w:val="fr-FR"/>
        </w:rPr>
        <w:t xml:space="preserve"> ont augmenté</w:t>
      </w:r>
    </w:p>
    <w:p w:rsidR="006C4767" w:rsidRPr="006C4767" w:rsidRDefault="006C4767" w:rsidP="006C4767">
      <w:pPr>
        <w:rPr>
          <w:lang w:val="fr-FR"/>
        </w:rPr>
      </w:pPr>
      <w:r>
        <w:rPr>
          <w:lang w:val="fr-FR"/>
        </w:rPr>
        <w:t>Possibilité de</w:t>
      </w:r>
      <w:r w:rsidRPr="006C4767">
        <w:rPr>
          <w:lang w:val="fr-FR"/>
        </w:rPr>
        <w:t xml:space="preserve"> comptage multiple pour des participants ayant pris part à plus d’un évènement durant la période) (</w:t>
      </w:r>
      <w:r w:rsidRPr="006C4767">
        <w:rPr>
          <w:i/>
          <w:lang w:val="fr-FR"/>
        </w:rPr>
        <w:t>source : rapports d’activité du RwDR, 2015-2018</w:t>
      </w:r>
      <w:r w:rsidRPr="006C4767">
        <w:rPr>
          <w:lang w:val="fr-FR"/>
        </w:rPr>
        <w:t xml:space="preserve">). Les activités d’échange et de réseautage du RwDR se sont progressivement diversifiées et de plus en plus de participants ont été impliqués dans ces activités (voir graphique). </w:t>
      </w:r>
    </w:p>
    <w:p w:rsidR="006C4767" w:rsidRPr="006C4767" w:rsidRDefault="006C4767" w:rsidP="006C4767">
      <w:pPr>
        <w:rPr>
          <w:lang w:val="fr-FR"/>
        </w:rPr>
      </w:pPr>
    </w:p>
    <w:p w:rsidR="006C4767" w:rsidRPr="006C4767" w:rsidRDefault="006C4767" w:rsidP="006C4767">
      <w:pPr>
        <w:jc w:val="center"/>
        <w:rPr>
          <w:rFonts w:ascii="Arial" w:hAnsi="Arial" w:cs="Arial"/>
          <w:b/>
          <w:sz w:val="22"/>
          <w:szCs w:val="22"/>
          <w:lang w:val="fr-FR"/>
        </w:rPr>
      </w:pPr>
      <w:r w:rsidRPr="006C4767">
        <w:rPr>
          <w:rFonts w:ascii="Arial" w:hAnsi="Arial" w:cs="Arial"/>
          <w:b/>
          <w:sz w:val="22"/>
          <w:szCs w:val="22"/>
          <w:lang w:val="fr-FR"/>
        </w:rPr>
        <w:t>Tableau 1</w:t>
      </w:r>
    </w:p>
    <w:p w:rsidR="006C4767" w:rsidRPr="006C4767" w:rsidRDefault="006C4767" w:rsidP="006C4767">
      <w:pPr>
        <w:rPr>
          <w:lang w:val="fr-FR"/>
        </w:rPr>
      </w:pPr>
      <w:r w:rsidRPr="006C4767">
        <w:rPr>
          <w:noProof/>
          <w:lang w:val="fr-FR"/>
        </w:rPr>
        <w:drawing>
          <wp:inline distT="0" distB="0" distL="0" distR="0" wp14:anchorId="0AED36E3" wp14:editId="495F563D">
            <wp:extent cx="5943600" cy="1381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381125"/>
                    </a:xfrm>
                    <a:prstGeom prst="rect">
                      <a:avLst/>
                    </a:prstGeom>
                    <a:noFill/>
                    <a:ln>
                      <a:noFill/>
                    </a:ln>
                  </pic:spPr>
                </pic:pic>
              </a:graphicData>
            </a:graphic>
          </wp:inline>
        </w:drawing>
      </w:r>
    </w:p>
    <w:p w:rsidR="006C4767" w:rsidRPr="006C4767" w:rsidRDefault="006C4767" w:rsidP="006C4767">
      <w:pPr>
        <w:spacing w:after="160" w:line="259" w:lineRule="auto"/>
        <w:jc w:val="left"/>
        <w:rPr>
          <w:rFonts w:ascii="Calibri" w:eastAsia="Calibri" w:hAnsi="Calibri"/>
          <w:sz w:val="22"/>
          <w:szCs w:val="22"/>
          <w:lang w:val="fr-BE" w:eastAsia="en-US"/>
        </w:rPr>
      </w:pPr>
    </w:p>
    <w:p w:rsidR="006C4767" w:rsidRDefault="006C4767" w:rsidP="006C4767">
      <w:pPr>
        <w:rPr>
          <w:b/>
          <w:u w:val="single"/>
          <w:lang w:val="fr-FR"/>
        </w:rPr>
      </w:pPr>
      <w:r w:rsidRPr="002D7205">
        <w:rPr>
          <w:b/>
          <w:u w:val="single"/>
          <w:lang w:val="fr-FR"/>
        </w:rPr>
        <w:t xml:space="preserve">CJ2 Les acteurs impliqués dans le Réseau accèdent facilement aux informations nécessaires et s’impliquent dans la mise en œuvre du </w:t>
      </w:r>
      <w:proofErr w:type="spellStart"/>
      <w:r w:rsidRPr="002D7205">
        <w:rPr>
          <w:b/>
          <w:u w:val="single"/>
          <w:lang w:val="fr-FR"/>
        </w:rPr>
        <w:t>PwDR</w:t>
      </w:r>
      <w:proofErr w:type="spellEnd"/>
      <w:r w:rsidRPr="002D7205">
        <w:rPr>
          <w:b/>
          <w:u w:val="single"/>
          <w:lang w:val="fr-FR"/>
        </w:rPr>
        <w:t xml:space="preserve"> (intelligence collective)</w:t>
      </w:r>
    </w:p>
    <w:p w:rsidR="006C4767" w:rsidRPr="002D7205" w:rsidRDefault="006C4767" w:rsidP="006C4767">
      <w:pPr>
        <w:rPr>
          <w:b/>
          <w:u w:val="single"/>
          <w:lang w:val="fr-FR"/>
        </w:rPr>
      </w:pPr>
    </w:p>
    <w:p w:rsidR="006C4767" w:rsidRPr="006C4767" w:rsidRDefault="006C4767" w:rsidP="006C4767">
      <w:pPr>
        <w:rPr>
          <w:lang w:val="fr-FR"/>
        </w:rPr>
      </w:pPr>
      <w:r w:rsidRPr="006C4767">
        <w:rPr>
          <w:lang w:val="fr-FR"/>
        </w:rPr>
        <w:t xml:space="preserve">Selon l’enquête en ligne de mai 2019, les répondants ont participé à diverses activités d’échanges, de réseautage et de capitalisation du RwDR. La fréquence de participation est variable selon les activités : </w:t>
      </w:r>
    </w:p>
    <w:p w:rsidR="006C4767" w:rsidRPr="006C4767" w:rsidRDefault="006C4767" w:rsidP="006C4767">
      <w:pPr>
        <w:numPr>
          <w:ilvl w:val="0"/>
          <w:numId w:val="20"/>
        </w:numPr>
        <w:spacing w:before="60" w:after="60" w:line="259" w:lineRule="auto"/>
        <w:contextualSpacing/>
        <w:jc w:val="left"/>
        <w:rPr>
          <w:rFonts w:eastAsia="Batang" w:cs="Arial"/>
          <w:noProof/>
          <w:szCs w:val="24"/>
          <w:lang w:val="fr-FR" w:eastAsia="en-GB"/>
        </w:rPr>
      </w:pPr>
      <w:r w:rsidRPr="006C4767">
        <w:rPr>
          <w:rFonts w:eastAsia="Batang" w:cs="Arial"/>
          <w:noProof/>
          <w:szCs w:val="24"/>
          <w:lang w:val="fr-FR" w:eastAsia="en-GB"/>
        </w:rPr>
        <w:t xml:space="preserve">Concernant les évènements du RwDR, le plus de répondants à l’enquête ont participé aux séminaires régionaux (49% des répondants) et aux visites de terrain (32%). Il s’agit essentiellement de participations occasionnelles, les participants réguliers sont environ 1 sur 5 des répondants pour les séminaires et les visites de terrain et 1 sur 10 pour les voyages d’études, compte tenu de la diversité des thématiques abordées. Un tiers des répondants à l’enquête n’ont participé à aucun des évènements organisés par le RwDR. </w:t>
      </w:r>
    </w:p>
    <w:p w:rsidR="006C4767" w:rsidRPr="006C4767" w:rsidRDefault="006C4767" w:rsidP="006C4767">
      <w:pPr>
        <w:numPr>
          <w:ilvl w:val="0"/>
          <w:numId w:val="20"/>
        </w:numPr>
        <w:spacing w:before="60" w:after="60" w:line="259" w:lineRule="auto"/>
        <w:contextualSpacing/>
        <w:jc w:val="left"/>
        <w:rPr>
          <w:rFonts w:eastAsia="Batang" w:cs="Arial"/>
          <w:noProof/>
          <w:szCs w:val="24"/>
          <w:lang w:val="fr-FR" w:eastAsia="en-GB"/>
        </w:rPr>
      </w:pPr>
      <w:r w:rsidRPr="006C4767">
        <w:rPr>
          <w:rFonts w:eastAsia="Batang" w:cs="Arial"/>
          <w:noProof/>
          <w:szCs w:val="24"/>
          <w:lang w:val="fr-FR" w:eastAsia="en-GB"/>
        </w:rPr>
        <w:t>13% des répondants sont membres d’un GT, organes principaux du réseau. Ils mobilisent les participants à échéance régulière autour d’une problématique spécifique. La fréquence de participation est plutôt élevée (surtout régulière ~54% ou occasionnelle 31%).</w:t>
      </w:r>
      <w:r w:rsidRPr="006C4767">
        <w:rPr>
          <w:rFonts w:ascii="Calibri" w:eastAsia="Calibri" w:hAnsi="Calibri"/>
          <w:noProof/>
          <w:sz w:val="22"/>
          <w:szCs w:val="22"/>
          <w:vertAlign w:val="superscript"/>
          <w:lang w:val="fr-FR" w:eastAsia="en-GB"/>
        </w:rPr>
        <w:footnoteReference w:id="16"/>
      </w:r>
      <w:r w:rsidRPr="006C4767">
        <w:rPr>
          <w:rFonts w:eastAsia="Batang" w:cs="Arial"/>
          <w:noProof/>
          <w:szCs w:val="24"/>
          <w:lang w:val="fr-FR" w:eastAsia="en-GB"/>
        </w:rPr>
        <w:t xml:space="preserve"> </w:t>
      </w:r>
    </w:p>
    <w:p w:rsidR="006C4767" w:rsidRPr="006C4767" w:rsidRDefault="006C4767" w:rsidP="006C4767">
      <w:pPr>
        <w:spacing w:before="60" w:after="60"/>
        <w:ind w:left="357" w:hanging="357"/>
        <w:rPr>
          <w:rFonts w:eastAsia="Batang" w:cs="Arial"/>
          <w:noProof/>
          <w:szCs w:val="24"/>
          <w:lang w:val="fr-FR" w:eastAsia="en-GB"/>
        </w:rPr>
      </w:pPr>
    </w:p>
    <w:p w:rsidR="006C4767" w:rsidRPr="006C4767" w:rsidRDefault="006C4767" w:rsidP="006C4767">
      <w:pPr>
        <w:spacing w:before="60" w:after="60"/>
        <w:ind w:left="357" w:hanging="357"/>
        <w:jc w:val="center"/>
        <w:rPr>
          <w:rFonts w:ascii="Arial" w:hAnsi="Arial"/>
          <w:b/>
          <w:noProof/>
          <w:sz w:val="22"/>
          <w:lang w:val="fr-FR"/>
        </w:rPr>
      </w:pPr>
      <w:r>
        <w:rPr>
          <w:rFonts w:ascii="Arial" w:hAnsi="Arial"/>
          <w:b/>
          <w:noProof/>
          <w:sz w:val="22"/>
        </w:rPr>
        <w:t>Figure 2</w:t>
      </w:r>
    </w:p>
    <w:p w:rsidR="006C4767" w:rsidRPr="006C4767" w:rsidRDefault="006C4767" w:rsidP="006C4767">
      <w:pPr>
        <w:jc w:val="center"/>
        <w:rPr>
          <w:lang w:val="fr-FR"/>
        </w:rPr>
      </w:pPr>
      <w:r w:rsidRPr="006C4767">
        <w:rPr>
          <w:noProof/>
          <w:lang w:val="fr-FR"/>
        </w:rPr>
        <w:lastRenderedPageBreak/>
        <w:drawing>
          <wp:inline distT="0" distB="0" distL="0" distR="0" wp14:anchorId="697C4FB4" wp14:editId="610A9BA8">
            <wp:extent cx="3952875" cy="35685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55658" cy="3571080"/>
                    </a:xfrm>
                    <a:prstGeom prst="rect">
                      <a:avLst/>
                    </a:prstGeom>
                    <a:noFill/>
                  </pic:spPr>
                </pic:pic>
              </a:graphicData>
            </a:graphic>
          </wp:inline>
        </w:drawing>
      </w:r>
    </w:p>
    <w:p w:rsidR="006C4767" w:rsidRPr="006C4767" w:rsidRDefault="006C4767" w:rsidP="006C4767">
      <w:pPr>
        <w:rPr>
          <w:i/>
          <w:sz w:val="20"/>
          <w:lang w:val="fr-FR"/>
        </w:rPr>
      </w:pPr>
      <w:r w:rsidRPr="006C4767">
        <w:rPr>
          <w:i/>
          <w:sz w:val="20"/>
          <w:lang w:val="fr-FR"/>
        </w:rPr>
        <w:t>Source : Enquête en ligne destinée aux parties prenantes du RwDR, 24/05-20/05/2019, N=nombre de répondants à la question</w:t>
      </w:r>
    </w:p>
    <w:p w:rsidR="006C4767" w:rsidRPr="006C4767" w:rsidRDefault="006C4767" w:rsidP="006C4767">
      <w:pPr>
        <w:rPr>
          <w:lang w:val="fr-FR"/>
        </w:rPr>
      </w:pPr>
    </w:p>
    <w:p w:rsidR="006C4767" w:rsidRPr="006C4767" w:rsidRDefault="006C4767" w:rsidP="006C4767">
      <w:pPr>
        <w:rPr>
          <w:lang w:val="fr-FR"/>
        </w:rPr>
      </w:pPr>
      <w:r w:rsidRPr="006C4767">
        <w:rPr>
          <w:lang w:val="fr-FR"/>
        </w:rPr>
        <w:t xml:space="preserve">Le principal frein à la participation aux différents évènements et activités du RwDR est la disponibilité des acteurs. Cette disponibilité est limitée par l’ampleur des tâches quotidiennes de travail dans leurs occupations professionnelles respectives (voir figure ci-dessous). </w:t>
      </w:r>
    </w:p>
    <w:p w:rsidR="006C4767" w:rsidRPr="006C4767" w:rsidRDefault="006C4767" w:rsidP="006C4767">
      <w:pPr>
        <w:spacing w:before="240" w:after="120"/>
        <w:jc w:val="center"/>
        <w:rPr>
          <w:rFonts w:ascii="Arial" w:hAnsi="Arial"/>
          <w:b/>
          <w:noProof/>
          <w:sz w:val="22"/>
          <w:lang w:val="fr-FR"/>
        </w:rPr>
      </w:pPr>
      <w:r w:rsidRPr="006C4767">
        <w:rPr>
          <w:rFonts w:ascii="Arial" w:hAnsi="Arial"/>
          <w:b/>
          <w:noProof/>
          <w:sz w:val="22"/>
          <w:lang w:val="fr-FR"/>
        </w:rPr>
        <w:br w:type="page"/>
      </w:r>
      <w:r w:rsidRPr="006C4767">
        <w:rPr>
          <w:rFonts w:ascii="Arial" w:hAnsi="Arial"/>
          <w:b/>
          <w:noProof/>
          <w:sz w:val="22"/>
        </w:rPr>
        <w:lastRenderedPageBreak/>
        <w:t xml:space="preserve">Figure </w:t>
      </w:r>
      <w:r>
        <w:rPr>
          <w:rFonts w:ascii="Arial" w:hAnsi="Arial"/>
          <w:b/>
          <w:noProof/>
          <w:sz w:val="22"/>
        </w:rPr>
        <w:t>3</w:t>
      </w:r>
    </w:p>
    <w:p w:rsidR="006C4767" w:rsidRPr="006C4767" w:rsidRDefault="006C4767" w:rsidP="006C4767">
      <w:pPr>
        <w:jc w:val="center"/>
        <w:rPr>
          <w:lang w:val="fr-FR"/>
        </w:rPr>
      </w:pPr>
      <w:r w:rsidRPr="006C4767">
        <w:rPr>
          <w:noProof/>
          <w:lang w:val="fr-FR"/>
        </w:rPr>
        <w:drawing>
          <wp:inline distT="0" distB="0" distL="0" distR="0" wp14:anchorId="6F02721E" wp14:editId="4BE0CCED">
            <wp:extent cx="4381500" cy="5133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1500" cy="5133975"/>
                    </a:xfrm>
                    <a:prstGeom prst="rect">
                      <a:avLst/>
                    </a:prstGeom>
                    <a:noFill/>
                  </pic:spPr>
                </pic:pic>
              </a:graphicData>
            </a:graphic>
          </wp:inline>
        </w:drawing>
      </w:r>
    </w:p>
    <w:p w:rsidR="006C4767" w:rsidRDefault="006C4767" w:rsidP="006C4767">
      <w:pPr>
        <w:rPr>
          <w:i/>
          <w:sz w:val="20"/>
          <w:lang w:val="fr-FR"/>
        </w:rPr>
      </w:pPr>
      <w:r w:rsidRPr="006C4767">
        <w:rPr>
          <w:i/>
          <w:sz w:val="20"/>
          <w:lang w:val="fr-FR"/>
        </w:rPr>
        <w:t>Source : Enquête en ligne destinée aux parties prenantes du RwDR, 24/04-20/05/2019, N=nombre de répondants à la question</w:t>
      </w:r>
    </w:p>
    <w:p w:rsidR="006C4767" w:rsidRPr="006C4767" w:rsidRDefault="006C4767" w:rsidP="006C4767">
      <w:pPr>
        <w:rPr>
          <w:i/>
          <w:sz w:val="20"/>
          <w:lang w:val="fr-FR"/>
        </w:rPr>
      </w:pPr>
    </w:p>
    <w:p w:rsidR="006C4767" w:rsidRPr="002D7205" w:rsidRDefault="006C4767" w:rsidP="006C4767">
      <w:pPr>
        <w:spacing w:before="360" w:after="240"/>
        <w:outlineLvl w:val="4"/>
        <w:rPr>
          <w:b/>
          <w:lang w:val="fr-FR"/>
        </w:rPr>
      </w:pPr>
      <w:r w:rsidRPr="002D7205">
        <w:rPr>
          <w:b/>
          <w:u w:val="single"/>
          <w:lang w:val="fr-FR"/>
        </w:rPr>
        <w:t xml:space="preserve">CJ 3. La qualité de la mise en œuvre du </w:t>
      </w:r>
      <w:proofErr w:type="spellStart"/>
      <w:r w:rsidRPr="002D7205">
        <w:rPr>
          <w:b/>
          <w:u w:val="single"/>
          <w:lang w:val="fr-FR"/>
        </w:rPr>
        <w:t>PwDR</w:t>
      </w:r>
      <w:proofErr w:type="spellEnd"/>
      <w:r w:rsidRPr="002D7205">
        <w:rPr>
          <w:b/>
          <w:u w:val="single"/>
          <w:lang w:val="fr-FR"/>
        </w:rPr>
        <w:t xml:space="preserve"> s’est améliorée grâce aux activités du RR</w:t>
      </w:r>
    </w:p>
    <w:p w:rsidR="006C4767" w:rsidRPr="006C4767" w:rsidRDefault="006C4767" w:rsidP="006C4767">
      <w:pPr>
        <w:rPr>
          <w:lang w:val="fr-FR"/>
        </w:rPr>
      </w:pPr>
      <w:r w:rsidRPr="006C4767">
        <w:rPr>
          <w:lang w:val="fr-FR"/>
        </w:rPr>
        <w:t xml:space="preserve">Le travail du réseau en matière de diffusion des bonnes pratiques a été bien perçu par les répondants à l’enquête. Plus de 75% des répondants (N=138) reconnaissent l’apport du réseau dans la connaissance des bonnes pratiques. </w:t>
      </w:r>
    </w:p>
    <w:p w:rsidR="006C4767" w:rsidRPr="006C4767" w:rsidRDefault="006C4767" w:rsidP="006C4767">
      <w:pPr>
        <w:rPr>
          <w:lang w:val="fr-FR"/>
        </w:rPr>
      </w:pPr>
    </w:p>
    <w:p w:rsidR="006C4767" w:rsidRPr="006C4767" w:rsidRDefault="006C4767" w:rsidP="006C4767">
      <w:pPr>
        <w:rPr>
          <w:b/>
          <w:lang w:val="fr-FR"/>
        </w:rPr>
      </w:pPr>
      <w:r w:rsidRPr="006C4767">
        <w:rPr>
          <w:lang w:val="fr-FR"/>
        </w:rPr>
        <w:t xml:space="preserve">La majorité des répondants à l’enquête mettent en avant l’utilité des activités et publications réalisées par le </w:t>
      </w:r>
      <w:proofErr w:type="spellStart"/>
      <w:r w:rsidRPr="006C4767">
        <w:rPr>
          <w:lang w:val="fr-FR"/>
        </w:rPr>
        <w:t>PwDR</w:t>
      </w:r>
      <w:proofErr w:type="spellEnd"/>
      <w:r w:rsidRPr="006C4767">
        <w:rPr>
          <w:lang w:val="fr-FR"/>
        </w:rPr>
        <w:t xml:space="preserve">, en lien avec le </w:t>
      </w:r>
      <w:proofErr w:type="spellStart"/>
      <w:r w:rsidRPr="006C4767">
        <w:rPr>
          <w:lang w:val="fr-FR"/>
        </w:rPr>
        <w:t>PwDR</w:t>
      </w:r>
      <w:proofErr w:type="spellEnd"/>
      <w:r w:rsidRPr="006C4767">
        <w:rPr>
          <w:lang w:val="fr-FR"/>
        </w:rPr>
        <w:t xml:space="preserve"> 2014-2020 : (i) près de 90% perçoivent les évènements comme utiles, voire très utiles, de sorte que plus l’évènement est orienté sur l’expérience pratique, plus son utilité est forte ; (ii) entre 70% et 90% estiment les publications qu’ils connaissent comme assez ou très utiles. </w:t>
      </w:r>
    </w:p>
    <w:p w:rsidR="006C4767" w:rsidRPr="006C4767" w:rsidRDefault="006C4767" w:rsidP="006C4767">
      <w:pPr>
        <w:rPr>
          <w:lang w:val="fr-FR"/>
        </w:rPr>
      </w:pPr>
    </w:p>
    <w:p w:rsidR="006C4767" w:rsidRPr="006C4767" w:rsidRDefault="006C4767" w:rsidP="006C4767">
      <w:pPr>
        <w:rPr>
          <w:lang w:val="fr-FR"/>
        </w:rPr>
      </w:pPr>
      <w:r w:rsidRPr="006C4767">
        <w:rPr>
          <w:lang w:val="fr-FR"/>
        </w:rPr>
        <w:t xml:space="preserve">Peu nombreux sont les répondants qui n’identifient aucun bénéfice particulier des évènements mis en place (~10% pour les GT pris ensemble) ou des publications (3% à 5% selon les publications). En effet, les activités et publications du réseau sont favorables aux renforcements des capacités des parties prenantes par l’amélioration des connaissances au travers de la formation / la capitalisation (60% à 85% des parties prenantes selon évènements / publications) et par le réseautage lors des évènements (40% à 60%). </w:t>
      </w:r>
    </w:p>
    <w:p w:rsidR="006C4767" w:rsidRPr="006C4767" w:rsidRDefault="006C4767" w:rsidP="006C4767">
      <w:pPr>
        <w:rPr>
          <w:lang w:val="fr-FR"/>
        </w:rPr>
      </w:pPr>
      <w:r w:rsidRPr="006C4767">
        <w:rPr>
          <w:lang w:val="fr-FR"/>
        </w:rPr>
        <w:lastRenderedPageBreak/>
        <w:t xml:space="preserve">Une réunion de la Commission permanente, au démarrage de la nouvelle programmation, a permis d’impliquer l’évaluateur et de présenter les résultats et principales conclusions-recommandations de l’évaluation ex post. Sur base des recommandations de l’évaluation ex post, le GT Biodiversité du RwDR s’est investi en vue du renforcement de l’efficacité des MAEC comme précisé plus haut. D’autre part, les GT « Conseil agricole » et « Outils financiers innovants » s’inscrivent dans la lignée de l’ex post, ce dernier GT ayant été mis en place afin d’envisager un appui à des projets d’installation alternatifs et innovants viables en dehors de l’installation classique dans le cadre familial. Certains voyages d’étude (Pays-Bas ; France) ont également permis d’intégrer les recommandations de l’ex post. Un autre groupe de travail (« Formation ») a intégré les enseignements de l’évaluation, mais il a été rapidement clôturé.  </w:t>
      </w:r>
    </w:p>
    <w:p w:rsidR="006C4767" w:rsidRPr="006C4767" w:rsidRDefault="006C4767" w:rsidP="006C4767">
      <w:pPr>
        <w:rPr>
          <w:lang w:val="fr-FR"/>
        </w:rPr>
      </w:pPr>
    </w:p>
    <w:p w:rsidR="006C4767" w:rsidRPr="006C4767" w:rsidRDefault="006C4767" w:rsidP="006C4767">
      <w:pPr>
        <w:rPr>
          <w:lang w:val="fr-FR"/>
        </w:rPr>
      </w:pPr>
      <w:r w:rsidRPr="006C4767">
        <w:rPr>
          <w:lang w:val="fr-FR"/>
        </w:rPr>
        <w:t xml:space="preserve">Plus des deux tiers (77%) des répondants GAL trouvent les </w:t>
      </w:r>
      <w:r w:rsidRPr="006C4767">
        <w:rPr>
          <w:b/>
          <w:lang w:val="fr-FR"/>
        </w:rPr>
        <w:t xml:space="preserve">réunions </w:t>
      </w:r>
      <w:proofErr w:type="spellStart"/>
      <w:r w:rsidRPr="006C4767">
        <w:rPr>
          <w:b/>
          <w:lang w:val="fr-FR"/>
        </w:rPr>
        <w:t>InterGAL</w:t>
      </w:r>
      <w:proofErr w:type="spellEnd"/>
      <w:r w:rsidRPr="006C4767">
        <w:rPr>
          <w:lang w:val="fr-FR"/>
        </w:rPr>
        <w:t xml:space="preserve"> utiles à très utiles pour l’approche LEADER sur leur territoire. Ces réunions permettent aussi d’améliorer le suivi/évaluation de la mise en œuvre des projets des GAL pour 64% des répondants GAL. Les répondants moins satisfaits mentionnent une dominance de l’agriculture et la biodiversité parmi les thématiques et un manque de sujets relatifs à la cohésion sociale, la citoyenneté, la mobilité. </w:t>
      </w:r>
    </w:p>
    <w:p w:rsidR="006C4767" w:rsidRPr="006C4767" w:rsidRDefault="006C4767" w:rsidP="006C4767">
      <w:pPr>
        <w:spacing w:before="240" w:after="120"/>
        <w:jc w:val="center"/>
        <w:rPr>
          <w:rFonts w:ascii="Arial" w:hAnsi="Arial"/>
          <w:b/>
          <w:noProof/>
          <w:sz w:val="22"/>
          <w:lang w:val="fr-FR"/>
        </w:rPr>
      </w:pPr>
      <w:r w:rsidRPr="006C4767">
        <w:rPr>
          <w:rFonts w:ascii="Arial" w:hAnsi="Arial"/>
          <w:b/>
          <w:noProof/>
          <w:sz w:val="22"/>
        </w:rPr>
        <w:t xml:space="preserve">Figure </w:t>
      </w:r>
      <w:r>
        <w:rPr>
          <w:rFonts w:ascii="Arial" w:hAnsi="Arial"/>
          <w:b/>
          <w:noProof/>
          <w:sz w:val="22"/>
        </w:rPr>
        <w:t>4</w:t>
      </w:r>
    </w:p>
    <w:p w:rsidR="006C4767" w:rsidRPr="006C4767" w:rsidRDefault="006C4767" w:rsidP="006C4767">
      <w:pPr>
        <w:jc w:val="center"/>
        <w:rPr>
          <w:lang w:val="fr-FR"/>
        </w:rPr>
      </w:pPr>
      <w:r w:rsidRPr="006C4767">
        <w:rPr>
          <w:noProof/>
          <w:lang w:val="fr-FR"/>
        </w:rPr>
        <w:drawing>
          <wp:inline distT="0" distB="0" distL="0" distR="0" wp14:anchorId="0A228CD2" wp14:editId="6A811D44">
            <wp:extent cx="3305175" cy="32480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5175" cy="3248025"/>
                    </a:xfrm>
                    <a:prstGeom prst="rect">
                      <a:avLst/>
                    </a:prstGeom>
                    <a:noFill/>
                  </pic:spPr>
                </pic:pic>
              </a:graphicData>
            </a:graphic>
          </wp:inline>
        </w:drawing>
      </w:r>
    </w:p>
    <w:p w:rsidR="006C4767" w:rsidRPr="006C4767" w:rsidRDefault="006C4767" w:rsidP="006C4767">
      <w:pPr>
        <w:rPr>
          <w:i/>
          <w:sz w:val="20"/>
          <w:lang w:val="fr-FR"/>
        </w:rPr>
      </w:pPr>
      <w:r w:rsidRPr="006C4767">
        <w:rPr>
          <w:i/>
          <w:sz w:val="20"/>
          <w:lang w:val="fr-FR"/>
        </w:rPr>
        <w:t>Source : Enquête en ligne destinée aux parties prenantes du RwDR, 24/05-20/05/2019, N=nombre de répondants à la question</w:t>
      </w:r>
    </w:p>
    <w:p w:rsidR="006C4767" w:rsidRPr="006C4767" w:rsidRDefault="006C4767" w:rsidP="006C4767">
      <w:pPr>
        <w:rPr>
          <w:i/>
          <w:lang w:val="fr-FR"/>
        </w:rPr>
      </w:pPr>
    </w:p>
    <w:p w:rsidR="006C4767" w:rsidRPr="006C4767" w:rsidRDefault="006C4767" w:rsidP="006C4767">
      <w:pPr>
        <w:rPr>
          <w:lang w:val="fr-FR"/>
        </w:rPr>
      </w:pPr>
      <w:r w:rsidRPr="006C4767">
        <w:rPr>
          <w:lang w:val="fr-FR"/>
        </w:rPr>
        <w:t xml:space="preserve">Les </w:t>
      </w:r>
      <w:proofErr w:type="spellStart"/>
      <w:r w:rsidRPr="006C4767">
        <w:rPr>
          <w:lang w:val="fr-FR"/>
        </w:rPr>
        <w:t>interGAL</w:t>
      </w:r>
      <w:proofErr w:type="spellEnd"/>
      <w:r w:rsidRPr="006C4767">
        <w:rPr>
          <w:lang w:val="fr-FR"/>
        </w:rPr>
        <w:t xml:space="preserve"> sont appréciés comme bénéfiques par les représentants des GAL dans la mesure où, selon les expressions propres des répondants, ils permettent surtout le partage d’idées, d’expériences et de bonnes pratiques (58%), la mise en réseau (32%) et l’échange avec les pairs (32%). Les </w:t>
      </w:r>
      <w:proofErr w:type="spellStart"/>
      <w:r w:rsidRPr="006C4767">
        <w:rPr>
          <w:lang w:val="fr-FR"/>
        </w:rPr>
        <w:t>interGAL</w:t>
      </w:r>
      <w:proofErr w:type="spellEnd"/>
      <w:r w:rsidRPr="006C4767">
        <w:rPr>
          <w:lang w:val="fr-FR"/>
        </w:rPr>
        <w:t xml:space="preserve"> sont des occasions également d’échanger à propos de sujets innovants / d’avenir.  </w:t>
      </w:r>
    </w:p>
    <w:p w:rsidR="006C4767" w:rsidRPr="006C4767" w:rsidRDefault="006C4767" w:rsidP="006C4767">
      <w:pPr>
        <w:rPr>
          <w:lang w:val="fr-FR"/>
        </w:rPr>
      </w:pPr>
    </w:p>
    <w:p w:rsidR="006C4767" w:rsidRPr="006C4767" w:rsidRDefault="006C4767" w:rsidP="006C4767">
      <w:pPr>
        <w:jc w:val="center"/>
        <w:rPr>
          <w:rFonts w:ascii="Arial" w:hAnsi="Arial"/>
          <w:b/>
          <w:noProof/>
          <w:sz w:val="22"/>
          <w:lang w:val="fr-FR"/>
        </w:rPr>
      </w:pPr>
      <w:r w:rsidRPr="006C4767">
        <w:rPr>
          <w:rFonts w:ascii="Arial" w:hAnsi="Arial"/>
          <w:b/>
          <w:noProof/>
          <w:sz w:val="22"/>
        </w:rPr>
        <w:t>Tableau</w:t>
      </w:r>
      <w:r>
        <w:rPr>
          <w:rFonts w:ascii="Arial" w:hAnsi="Arial"/>
          <w:b/>
          <w:noProof/>
          <w:sz w:val="22"/>
        </w:rPr>
        <w:t xml:space="preserve"> 5</w:t>
      </w:r>
    </w:p>
    <w:p w:rsidR="006C4767" w:rsidRPr="006C4767" w:rsidRDefault="006C4767" w:rsidP="006C4767">
      <w:pPr>
        <w:jc w:val="center"/>
        <w:rPr>
          <w:lang w:val="fr-FR"/>
        </w:rPr>
      </w:pPr>
      <w:r w:rsidRPr="006C4767">
        <w:rPr>
          <w:noProof/>
          <w:lang w:val="fr-FR"/>
        </w:rPr>
        <w:lastRenderedPageBreak/>
        <w:drawing>
          <wp:inline distT="0" distB="0" distL="0" distR="0" wp14:anchorId="764CB6C1" wp14:editId="404F4322">
            <wp:extent cx="2971800" cy="1571926"/>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7898" cy="1575152"/>
                    </a:xfrm>
                    <a:prstGeom prst="rect">
                      <a:avLst/>
                    </a:prstGeom>
                    <a:noFill/>
                  </pic:spPr>
                </pic:pic>
              </a:graphicData>
            </a:graphic>
          </wp:inline>
        </w:drawing>
      </w:r>
    </w:p>
    <w:p w:rsidR="006C4767" w:rsidRPr="006C4767" w:rsidRDefault="006C4767" w:rsidP="006C4767">
      <w:pPr>
        <w:rPr>
          <w:i/>
          <w:sz w:val="20"/>
          <w:lang w:val="fr-FR"/>
        </w:rPr>
      </w:pPr>
      <w:r w:rsidRPr="006C4767">
        <w:rPr>
          <w:i/>
          <w:sz w:val="20"/>
          <w:lang w:val="fr-FR"/>
        </w:rPr>
        <w:t>Source : Enquête en ligne auprès des parties prenantes du RwDR, 24/05-20/05/2019, N=nombre de répondants à la question</w:t>
      </w:r>
    </w:p>
    <w:p w:rsidR="006C4767" w:rsidRPr="006C4767" w:rsidRDefault="006C4767" w:rsidP="006C4767">
      <w:pPr>
        <w:rPr>
          <w:i/>
          <w:sz w:val="20"/>
          <w:lang w:val="fr-FR"/>
        </w:rPr>
      </w:pPr>
    </w:p>
    <w:p w:rsidR="00CE1931" w:rsidRPr="002D7205" w:rsidRDefault="00CE1931" w:rsidP="00CE1931">
      <w:pPr>
        <w:rPr>
          <w:b/>
          <w:u w:val="single"/>
          <w:lang w:val="fr-FR"/>
        </w:rPr>
      </w:pPr>
      <w:r w:rsidRPr="002D7205">
        <w:rPr>
          <w:b/>
          <w:u w:val="single"/>
          <w:lang w:val="fr-FR"/>
        </w:rPr>
        <w:t>CJ 4. Le grand public et les bénéficiaires potentiels ont connaissance de la politique de développement rural et des possibilités de financement par le biais des activités du RRN</w:t>
      </w:r>
    </w:p>
    <w:p w:rsidR="006C4767" w:rsidRPr="006C4767" w:rsidRDefault="006C4767" w:rsidP="006C4767">
      <w:pPr>
        <w:rPr>
          <w:lang w:val="fr-FR"/>
        </w:rPr>
      </w:pPr>
    </w:p>
    <w:p w:rsidR="006C4767" w:rsidRPr="006C4767" w:rsidRDefault="006C4767" w:rsidP="006C4767">
      <w:pPr>
        <w:rPr>
          <w:lang w:val="fr-FR"/>
        </w:rPr>
      </w:pPr>
      <w:r w:rsidRPr="006C4767">
        <w:rPr>
          <w:lang w:val="fr-FR"/>
        </w:rPr>
        <w:t>Les résultats de l’enquête en ligne indiquent que le travail du réseau a davantage permis d’informer les bénéficiaires potentiels (63% tout à fait ou plutôt d’accord) sur la politique de développement rural dans son ensemble et moins en ce qui concerne les possibilités de financement (47% sont d’accord).</w:t>
      </w:r>
    </w:p>
    <w:p w:rsidR="006C4767" w:rsidRPr="006C4767" w:rsidRDefault="006C4767" w:rsidP="006C4767">
      <w:pPr>
        <w:rPr>
          <w:lang w:val="fr-FR"/>
        </w:rPr>
      </w:pPr>
    </w:p>
    <w:p w:rsidR="006C4767" w:rsidRPr="006C4767" w:rsidRDefault="006C4767" w:rsidP="006C4767">
      <w:pPr>
        <w:rPr>
          <w:rFonts w:ascii="Arial" w:hAnsi="Arial"/>
          <w:b/>
          <w:noProof/>
          <w:sz w:val="22"/>
          <w:lang w:val="fr-FR"/>
        </w:rPr>
      </w:pPr>
      <w:r w:rsidRPr="006C4767">
        <w:rPr>
          <w:rFonts w:ascii="Arial" w:hAnsi="Arial"/>
          <w:b/>
          <w:noProof/>
          <w:sz w:val="22"/>
        </w:rPr>
        <w:t xml:space="preserve">Figure </w:t>
      </w:r>
      <w:r w:rsidR="00CE1931">
        <w:rPr>
          <w:rFonts w:ascii="Arial" w:hAnsi="Arial"/>
          <w:b/>
          <w:noProof/>
          <w:sz w:val="22"/>
        </w:rPr>
        <w:t>6</w:t>
      </w:r>
    </w:p>
    <w:p w:rsidR="006C4767" w:rsidRPr="006C4767" w:rsidRDefault="006C4767" w:rsidP="006C4767">
      <w:pPr>
        <w:jc w:val="center"/>
        <w:rPr>
          <w:lang w:val="fr-FR"/>
        </w:rPr>
      </w:pPr>
      <w:r w:rsidRPr="006C4767">
        <w:rPr>
          <w:noProof/>
          <w:lang w:val="fr-FR"/>
        </w:rPr>
        <w:drawing>
          <wp:inline distT="0" distB="0" distL="0" distR="0" wp14:anchorId="01DD6CA0" wp14:editId="269CF4B1">
            <wp:extent cx="3495675" cy="31242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95675" cy="3124200"/>
                    </a:xfrm>
                    <a:prstGeom prst="rect">
                      <a:avLst/>
                    </a:prstGeom>
                    <a:noFill/>
                  </pic:spPr>
                </pic:pic>
              </a:graphicData>
            </a:graphic>
          </wp:inline>
        </w:drawing>
      </w:r>
    </w:p>
    <w:p w:rsidR="006C4767" w:rsidRPr="006C4767" w:rsidRDefault="006C4767" w:rsidP="006C4767">
      <w:pPr>
        <w:rPr>
          <w:i/>
          <w:sz w:val="20"/>
          <w:lang w:val="fr-FR"/>
        </w:rPr>
      </w:pPr>
      <w:r w:rsidRPr="006C4767">
        <w:rPr>
          <w:i/>
          <w:sz w:val="20"/>
          <w:lang w:val="fr-FR"/>
        </w:rPr>
        <w:t>Source : Enquête en ligne destinée aux parties prenantes du RwDR, 24/05-20/05/2019, N=nombre de répondants à la question</w:t>
      </w:r>
    </w:p>
    <w:p w:rsidR="006C4767" w:rsidRPr="006C4767" w:rsidRDefault="006C4767" w:rsidP="006C4767">
      <w:pPr>
        <w:rPr>
          <w:lang w:val="fr-FR"/>
        </w:rPr>
      </w:pPr>
    </w:p>
    <w:p w:rsidR="006C4767" w:rsidRPr="006C4767" w:rsidRDefault="006C4767" w:rsidP="006C4767">
      <w:pPr>
        <w:rPr>
          <w:lang w:val="fr-FR"/>
        </w:rPr>
      </w:pPr>
      <w:r w:rsidRPr="006C4767">
        <w:rPr>
          <w:lang w:val="fr-FR"/>
        </w:rPr>
        <w:t>Par ailleurs, certains avis de l’enquête indiquent la saturation des canaux de diffusion et la difficulté de toucher le grand public, un enjeu de plus un plus fort en lien avec l’importance de la visibilité des investissements européens. L’objectif du réseau pour sa troisième année (2018) a été notamment de renforcer la partie grand public de sa communication. Cet enjeu a été abordé par les relations presse-médias, notamment la diffusion d’un reportage TV du Monde dans le cadre de l’émission Tam-tam sur RTBF 3. La présence sur les réseaux sociaux et autres fora constituent également des opportunités de toucher un public plus élargi que les bénéficiaires et acteurs wallons du développement rural. L’évaluateur ne dispose pas de données permettant d’étayer la notoriété éventuelle du programme, de ses réalisations et ac</w:t>
      </w:r>
      <w:r w:rsidR="00CE1931">
        <w:rPr>
          <w:lang w:val="fr-FR"/>
        </w:rPr>
        <w:t xml:space="preserve">quis auprès du citoyen wallon. </w:t>
      </w:r>
    </w:p>
    <w:p w:rsidR="00CE1931" w:rsidRPr="002D7205" w:rsidRDefault="00CE1931" w:rsidP="00CE1931">
      <w:pPr>
        <w:spacing w:before="360" w:after="240"/>
        <w:outlineLvl w:val="4"/>
        <w:rPr>
          <w:b/>
          <w:u w:val="single"/>
          <w:lang w:val="fr-FR"/>
        </w:rPr>
      </w:pPr>
      <w:r w:rsidRPr="002D7205">
        <w:rPr>
          <w:b/>
          <w:u w:val="single"/>
          <w:lang w:val="fr-FR"/>
        </w:rPr>
        <w:t>CJ5. L'innovation dans l'agriculture, la foresterie, la production alimentaire et les zones rurales a été encouragée par le RwDR</w:t>
      </w:r>
    </w:p>
    <w:p w:rsidR="006C4767" w:rsidRPr="006C4767" w:rsidRDefault="006C4767" w:rsidP="006C4767">
      <w:pPr>
        <w:spacing w:before="240" w:after="120"/>
        <w:jc w:val="center"/>
        <w:rPr>
          <w:rFonts w:ascii="Arial" w:hAnsi="Arial"/>
          <w:b/>
          <w:noProof/>
          <w:sz w:val="22"/>
          <w:lang w:val="fr-FR"/>
        </w:rPr>
      </w:pPr>
      <w:r w:rsidRPr="006C4767">
        <w:rPr>
          <w:rFonts w:ascii="Arial" w:hAnsi="Arial"/>
          <w:b/>
          <w:noProof/>
          <w:sz w:val="22"/>
        </w:rPr>
        <w:lastRenderedPageBreak/>
        <w:t xml:space="preserve">Figure </w:t>
      </w:r>
      <w:r w:rsidR="00CE1931">
        <w:rPr>
          <w:rFonts w:ascii="Arial" w:hAnsi="Arial"/>
          <w:b/>
          <w:noProof/>
          <w:sz w:val="22"/>
        </w:rPr>
        <w:t>7</w:t>
      </w:r>
    </w:p>
    <w:p w:rsidR="006C4767" w:rsidRPr="006C4767" w:rsidRDefault="006C4767" w:rsidP="006C4767">
      <w:pPr>
        <w:jc w:val="center"/>
        <w:rPr>
          <w:lang w:val="fr-FR"/>
        </w:rPr>
      </w:pPr>
      <w:r w:rsidRPr="006C4767">
        <w:rPr>
          <w:noProof/>
          <w:lang w:val="fr-FR"/>
        </w:rPr>
        <w:drawing>
          <wp:inline distT="0" distB="0" distL="0" distR="0" wp14:anchorId="6E63F77A" wp14:editId="0C19F79D">
            <wp:extent cx="5095875" cy="26670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95875" cy="2667000"/>
                    </a:xfrm>
                    <a:prstGeom prst="rect">
                      <a:avLst/>
                    </a:prstGeom>
                    <a:noFill/>
                  </pic:spPr>
                </pic:pic>
              </a:graphicData>
            </a:graphic>
          </wp:inline>
        </w:drawing>
      </w:r>
    </w:p>
    <w:p w:rsidR="006C4767" w:rsidRPr="006C4767" w:rsidRDefault="006C4767" w:rsidP="006C4767">
      <w:pPr>
        <w:rPr>
          <w:i/>
          <w:sz w:val="20"/>
          <w:lang w:val="fr-FR"/>
        </w:rPr>
      </w:pPr>
      <w:r w:rsidRPr="006C4767">
        <w:rPr>
          <w:i/>
          <w:sz w:val="20"/>
          <w:lang w:val="fr-FR"/>
        </w:rPr>
        <w:t>Source : Enquête en ligne destinée aux parties prenantes du RwDR, 24/05-20/05/2019, N=nombre de répondants à la question</w:t>
      </w:r>
    </w:p>
    <w:p w:rsidR="006C4767" w:rsidRPr="006C4767" w:rsidRDefault="006C4767" w:rsidP="006C4767">
      <w:pPr>
        <w:rPr>
          <w:i/>
          <w:lang w:val="fr-FR"/>
        </w:rPr>
      </w:pPr>
    </w:p>
    <w:p w:rsidR="006C4767" w:rsidRPr="006C4767" w:rsidRDefault="006C4767" w:rsidP="006C4767">
      <w:pPr>
        <w:rPr>
          <w:lang w:val="fr-FR"/>
        </w:rPr>
      </w:pPr>
      <w:r w:rsidRPr="006C4767">
        <w:rPr>
          <w:lang w:val="fr-FR"/>
        </w:rPr>
        <w:t xml:space="preserve">La pertinence du thème et de l’approche de la route de l’innovation a été validée par les répondants à l’enquête. Ceux-ci sont quasi unanimes (près de 90%) que l’autonomie / le changement de pratiques est un thème à forts enjeux pour l’avenir, il est au centre des intérêts pour les acteurs du développement rural et tout à fait pertinent à traiter dans le cadre du </w:t>
      </w:r>
      <w:proofErr w:type="spellStart"/>
      <w:r w:rsidRPr="006C4767">
        <w:rPr>
          <w:lang w:val="fr-FR"/>
        </w:rPr>
        <w:t>PwDR</w:t>
      </w:r>
      <w:proofErr w:type="spellEnd"/>
      <w:r w:rsidRPr="006C4767">
        <w:rPr>
          <w:lang w:val="fr-FR"/>
        </w:rPr>
        <w:t xml:space="preserve"> wallon. </w:t>
      </w:r>
    </w:p>
    <w:p w:rsidR="006C4767" w:rsidRPr="006C4767" w:rsidRDefault="006C4767" w:rsidP="006C4767">
      <w:pPr>
        <w:rPr>
          <w:lang w:val="fr-FR"/>
        </w:rPr>
      </w:pPr>
    </w:p>
    <w:p w:rsidR="006C4767" w:rsidRPr="006C4767" w:rsidRDefault="006C4767" w:rsidP="006C4767">
      <w:pPr>
        <w:jc w:val="center"/>
        <w:rPr>
          <w:rFonts w:ascii="Arial" w:hAnsi="Arial"/>
          <w:b/>
          <w:noProof/>
          <w:sz w:val="22"/>
          <w:lang w:val="fr-FR"/>
        </w:rPr>
      </w:pPr>
      <w:r w:rsidRPr="006C4767">
        <w:rPr>
          <w:rFonts w:ascii="Arial" w:hAnsi="Arial"/>
          <w:b/>
          <w:noProof/>
          <w:sz w:val="22"/>
        </w:rPr>
        <w:t xml:space="preserve">Figure </w:t>
      </w:r>
      <w:r w:rsidR="00CE1931">
        <w:rPr>
          <w:rFonts w:ascii="Arial" w:hAnsi="Arial"/>
          <w:b/>
          <w:noProof/>
          <w:sz w:val="22"/>
        </w:rPr>
        <w:t>8</w:t>
      </w:r>
    </w:p>
    <w:p w:rsidR="006C4767" w:rsidRPr="006C4767" w:rsidRDefault="006C4767" w:rsidP="006C4767">
      <w:pPr>
        <w:jc w:val="center"/>
        <w:rPr>
          <w:lang w:val="fr-FR"/>
        </w:rPr>
      </w:pPr>
      <w:r w:rsidRPr="006C4767">
        <w:rPr>
          <w:noProof/>
          <w:lang w:val="fr-FR"/>
        </w:rPr>
        <w:drawing>
          <wp:inline distT="0" distB="0" distL="0" distR="0" wp14:anchorId="5B3CF1EA" wp14:editId="4C197A78">
            <wp:extent cx="3952875" cy="33242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2875" cy="3324225"/>
                    </a:xfrm>
                    <a:prstGeom prst="rect">
                      <a:avLst/>
                    </a:prstGeom>
                    <a:noFill/>
                  </pic:spPr>
                </pic:pic>
              </a:graphicData>
            </a:graphic>
          </wp:inline>
        </w:drawing>
      </w:r>
    </w:p>
    <w:p w:rsidR="006C4767" w:rsidRPr="006C4767" w:rsidRDefault="006C4767" w:rsidP="006C4767">
      <w:pPr>
        <w:rPr>
          <w:i/>
          <w:sz w:val="20"/>
          <w:lang w:val="fr-FR"/>
        </w:rPr>
      </w:pPr>
      <w:r w:rsidRPr="006C4767">
        <w:rPr>
          <w:i/>
          <w:sz w:val="20"/>
          <w:lang w:val="fr-FR"/>
        </w:rPr>
        <w:t>Source : Enquête en ligne destinée aux parties prenantes du RwDR, 24/05-20/05/2019, N=nombre de répondants à la question</w:t>
      </w:r>
    </w:p>
    <w:p w:rsidR="006C4767" w:rsidRPr="006C4767" w:rsidRDefault="006C4767" w:rsidP="006C4767">
      <w:pPr>
        <w:rPr>
          <w:lang w:val="fr-FR"/>
        </w:rPr>
      </w:pPr>
    </w:p>
    <w:p w:rsidR="006C4767" w:rsidRPr="006C4767" w:rsidRDefault="006C4767" w:rsidP="006C4767">
      <w:pPr>
        <w:rPr>
          <w:lang w:val="fr-FR"/>
        </w:rPr>
      </w:pPr>
      <w:r w:rsidRPr="006C4767">
        <w:rPr>
          <w:lang w:val="fr-FR"/>
        </w:rPr>
        <w:t xml:space="preserve">Cependant, le lien direct des travaux conduits dans le cadre de la Route de l’innovation avec les domaines clés d’intervention du </w:t>
      </w:r>
      <w:proofErr w:type="spellStart"/>
      <w:r w:rsidRPr="006C4767">
        <w:rPr>
          <w:lang w:val="fr-FR"/>
        </w:rPr>
        <w:t>PwDR</w:t>
      </w:r>
      <w:proofErr w:type="spellEnd"/>
      <w:r w:rsidRPr="006C4767">
        <w:rPr>
          <w:lang w:val="fr-FR"/>
        </w:rPr>
        <w:t xml:space="preserve"> n’est pas perçu comme systématique et immédiat. Les répondants n’ont pas tous exprimé un avis quant à l’utilité des résultats issus de la route de l’innovation (un sur trois des répondants). Ceux qui se sont positionnés pensent majoritairement (~50%-60%) que les résultats sont ou seront en faveur des domaines clés d’intervention du </w:t>
      </w:r>
      <w:proofErr w:type="spellStart"/>
      <w:r w:rsidRPr="006C4767">
        <w:rPr>
          <w:lang w:val="fr-FR"/>
        </w:rPr>
        <w:t>PwDR</w:t>
      </w:r>
      <w:proofErr w:type="spellEnd"/>
      <w:r w:rsidRPr="006C4767">
        <w:rPr>
          <w:lang w:val="fr-FR"/>
        </w:rPr>
        <w:t xml:space="preserve">. Près de 75% des répondants (N=68) déclarent qu’ils ont utilisé ou vont utiliser ces connaissances </w:t>
      </w:r>
      <w:r w:rsidRPr="006C4767">
        <w:rPr>
          <w:lang w:val="fr-FR"/>
        </w:rPr>
        <w:lastRenderedPageBreak/>
        <w:t>acquises lors de cette initiative, surtout en les diffusant en interne et/ou auprès des agriculteurs / acteurs du développement rural wallons.</w:t>
      </w:r>
    </w:p>
    <w:p w:rsidR="006C4767" w:rsidRPr="006C4767" w:rsidRDefault="006C4767" w:rsidP="006C4767">
      <w:pPr>
        <w:rPr>
          <w:lang w:val="fr-FR"/>
        </w:rPr>
      </w:pPr>
    </w:p>
    <w:p w:rsidR="006C4767" w:rsidRPr="006C4767" w:rsidRDefault="006C4767" w:rsidP="006C4767">
      <w:pPr>
        <w:jc w:val="center"/>
        <w:rPr>
          <w:rFonts w:ascii="Arial" w:hAnsi="Arial"/>
          <w:b/>
          <w:noProof/>
          <w:sz w:val="22"/>
          <w:lang w:val="fr-FR"/>
        </w:rPr>
      </w:pPr>
      <w:r w:rsidRPr="006C4767">
        <w:rPr>
          <w:rFonts w:ascii="Arial" w:hAnsi="Arial"/>
          <w:b/>
          <w:noProof/>
          <w:sz w:val="22"/>
        </w:rPr>
        <w:t xml:space="preserve">Figure </w:t>
      </w:r>
      <w:r w:rsidR="00CE1931">
        <w:rPr>
          <w:rFonts w:ascii="Arial" w:hAnsi="Arial"/>
          <w:b/>
          <w:noProof/>
          <w:sz w:val="22"/>
        </w:rPr>
        <w:t>9</w:t>
      </w:r>
    </w:p>
    <w:p w:rsidR="006C4767" w:rsidRPr="006C4767" w:rsidRDefault="006C4767" w:rsidP="006C4767">
      <w:pPr>
        <w:jc w:val="center"/>
        <w:rPr>
          <w:lang w:val="fr-FR"/>
        </w:rPr>
      </w:pPr>
      <w:r w:rsidRPr="006C4767">
        <w:rPr>
          <w:noProof/>
          <w:lang w:val="fr-FR"/>
        </w:rPr>
        <w:drawing>
          <wp:inline distT="0" distB="0" distL="0" distR="0" wp14:anchorId="087C2CFB" wp14:editId="1ED6556E">
            <wp:extent cx="3800475" cy="28194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0475" cy="2819400"/>
                    </a:xfrm>
                    <a:prstGeom prst="rect">
                      <a:avLst/>
                    </a:prstGeom>
                    <a:noFill/>
                  </pic:spPr>
                </pic:pic>
              </a:graphicData>
            </a:graphic>
          </wp:inline>
        </w:drawing>
      </w:r>
    </w:p>
    <w:p w:rsidR="006C4767" w:rsidRPr="006C4767" w:rsidRDefault="006C4767" w:rsidP="006C4767">
      <w:pPr>
        <w:rPr>
          <w:i/>
          <w:sz w:val="20"/>
          <w:lang w:val="fr-FR"/>
        </w:rPr>
      </w:pPr>
      <w:r w:rsidRPr="006C4767">
        <w:rPr>
          <w:i/>
          <w:sz w:val="20"/>
          <w:lang w:val="fr-FR"/>
        </w:rPr>
        <w:t>Source : Enquête en ligne destinée aux parties prenantes du RwDR, 24/05-20/05/2019, N=nombre de répondants à la question</w:t>
      </w:r>
    </w:p>
    <w:p w:rsidR="006C4767" w:rsidRPr="006C4767" w:rsidRDefault="006C4767" w:rsidP="006C4767">
      <w:pPr>
        <w:rPr>
          <w:lang w:val="fr-FR"/>
        </w:rPr>
      </w:pPr>
    </w:p>
    <w:sectPr w:rsidR="006C4767" w:rsidRPr="006C4767" w:rsidSect="005F594E">
      <w:type w:val="oddPage"/>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42B" w:rsidRDefault="00E9242B" w:rsidP="0024389F">
      <w:r>
        <w:separator/>
      </w:r>
    </w:p>
  </w:endnote>
  <w:endnote w:type="continuationSeparator" w:id="0">
    <w:p w:rsidR="00E9242B" w:rsidRDefault="00E9242B" w:rsidP="00243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42B" w:rsidRDefault="00E9242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42B" w:rsidRPr="00286D5C" w:rsidRDefault="00E9242B" w:rsidP="00432D1B">
    <w:pPr>
      <w:pBdr>
        <w:bottom w:val="single" w:sz="6" w:space="2" w:color="900E1A"/>
      </w:pBdr>
      <w:tabs>
        <w:tab w:val="center" w:pos="4536"/>
        <w:tab w:val="right" w:pos="9072"/>
      </w:tabs>
      <w:jc w:val="center"/>
      <w:rPr>
        <w:sz w:val="18"/>
        <w:szCs w:val="18"/>
        <w:lang w:val="fr-BE"/>
      </w:rPr>
    </w:pPr>
    <w:r>
      <w:rPr>
        <w:noProof/>
      </w:rPr>
      <w:drawing>
        <wp:anchor distT="0" distB="0" distL="114300" distR="114300" simplePos="0" relativeHeight="251666432" behindDoc="1" locked="0" layoutInCell="1" allowOverlap="1" wp14:editId="56E3C05B">
          <wp:simplePos x="0" y="0"/>
          <wp:positionH relativeFrom="column">
            <wp:posOffset>3718063</wp:posOffset>
          </wp:positionH>
          <wp:positionV relativeFrom="paragraph">
            <wp:posOffset>-1635554</wp:posOffset>
          </wp:positionV>
          <wp:extent cx="1306195" cy="1692275"/>
          <wp:effectExtent l="0" t="0" r="0" b="0"/>
          <wp:wrapNone/>
          <wp:docPr id="244" name="Picture 244" descr="wallonie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lonie_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editId="137F6B6B">
          <wp:simplePos x="0" y="0"/>
          <wp:positionH relativeFrom="column">
            <wp:posOffset>1290286</wp:posOffset>
          </wp:positionH>
          <wp:positionV relativeFrom="paragraph">
            <wp:posOffset>-1313900</wp:posOffset>
          </wp:positionV>
          <wp:extent cx="1514475" cy="1009650"/>
          <wp:effectExtent l="0" t="0" r="952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D5C">
      <w:rPr>
        <w:sz w:val="18"/>
        <w:szCs w:val="18"/>
        <w:lang w:val="fr-BE"/>
      </w:rPr>
      <w:t>Rue de Clairvaux 40, bte 101 – B 1348 Louvain-la-Neuve – Tel +32 10 45 45 10 – Fax +32 10 45 40 99</w:t>
    </w:r>
  </w:p>
  <w:p w:rsidR="00E9242B" w:rsidRPr="008031A0" w:rsidRDefault="00E9242B" w:rsidP="00432D1B">
    <w:pPr>
      <w:tabs>
        <w:tab w:val="center" w:pos="4536"/>
        <w:tab w:val="right" w:pos="9072"/>
      </w:tabs>
      <w:spacing w:before="40"/>
      <w:jc w:val="center"/>
      <w:rPr>
        <w:lang w:val="de-DE"/>
      </w:rPr>
    </w:pPr>
    <w:r w:rsidRPr="008031A0">
      <w:rPr>
        <w:sz w:val="18"/>
        <w:szCs w:val="18"/>
        <w:lang w:val="de-DE"/>
      </w:rPr>
      <w:t xml:space="preserve">E-mail </w:t>
    </w:r>
    <w:hyperlink r:id="rId3" w:history="1">
      <w:r w:rsidRPr="008031A0">
        <w:rPr>
          <w:color w:val="0000FF"/>
          <w:sz w:val="18"/>
          <w:szCs w:val="18"/>
          <w:u w:val="single"/>
          <w:lang w:val="de-DE"/>
        </w:rPr>
        <w:t>ade@ade.eu</w:t>
      </w:r>
    </w:hyperlink>
    <w:r w:rsidRPr="008031A0">
      <w:rPr>
        <w:sz w:val="18"/>
        <w:szCs w:val="18"/>
        <w:lang w:val="de-DE"/>
      </w:rPr>
      <w:t xml:space="preserve"> – Website </w:t>
    </w:r>
    <w:hyperlink r:id="rId4" w:history="1">
      <w:r w:rsidRPr="008031A0">
        <w:rPr>
          <w:color w:val="0000FF"/>
          <w:sz w:val="18"/>
          <w:szCs w:val="18"/>
          <w:u w:val="single"/>
          <w:lang w:val="de-DE"/>
        </w:rPr>
        <w:t>www.ade.eu</w:t>
      </w:r>
    </w:hyperlink>
    <w:r>
      <w:rPr>
        <w:noProof/>
        <w:lang w:val="fr-FR"/>
      </w:rPr>
      <w:drawing>
        <wp:anchor distT="0" distB="0" distL="114300" distR="114300" simplePos="0" relativeHeight="251660288" behindDoc="0" locked="0" layoutInCell="1" allowOverlap="1" wp14:anchorId="10946EB7" wp14:editId="55F7AD42">
          <wp:simplePos x="0" y="0"/>
          <wp:positionH relativeFrom="column">
            <wp:posOffset>4177030</wp:posOffset>
          </wp:positionH>
          <wp:positionV relativeFrom="paragraph">
            <wp:posOffset>3872230</wp:posOffset>
          </wp:positionV>
          <wp:extent cx="1715135" cy="137223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5135"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659264" behindDoc="0" locked="0" layoutInCell="1" allowOverlap="1" wp14:anchorId="29680BC5" wp14:editId="02777AC9">
          <wp:simplePos x="0" y="0"/>
          <wp:positionH relativeFrom="column">
            <wp:posOffset>4177030</wp:posOffset>
          </wp:positionH>
          <wp:positionV relativeFrom="paragraph">
            <wp:posOffset>3872230</wp:posOffset>
          </wp:positionV>
          <wp:extent cx="1715135" cy="137223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5135" cy="13722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42B" w:rsidRDefault="00E9242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42B" w:rsidRPr="002E1CEC" w:rsidRDefault="00E9242B" w:rsidP="00432D1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42B" w:rsidRPr="00652EB8" w:rsidRDefault="00E9242B" w:rsidP="00432D1B">
    <w:pPr>
      <w:pStyle w:val="Pieddepage"/>
      <w:tabs>
        <w:tab w:val="clear" w:pos="4536"/>
        <w:tab w:val="clear" w:pos="9072"/>
        <w:tab w:val="right" w:pos="8364"/>
        <w:tab w:val="right" w:pos="12780"/>
      </w:tabs>
      <w:ind w:right="-15"/>
      <w:rPr>
        <w:lang w:val="fr-FR"/>
      </w:rPr>
    </w:pPr>
    <w:r>
      <w:rPr>
        <w:sz w:val="20"/>
        <w:lang w:val="fr-BE"/>
      </w:rPr>
      <w:t>Contribution au RAMO – Annexes – juin 2019</w:t>
    </w:r>
    <w:r>
      <w:rPr>
        <w:sz w:val="20"/>
        <w:lang w:val="fr-FR"/>
      </w:rPr>
      <w:tab/>
      <w:t>Table</w:t>
    </w:r>
    <w:r w:rsidRPr="00652EB8">
      <w:rPr>
        <w:sz w:val="20"/>
        <w:lang w:val="fr-FR"/>
      </w:rPr>
      <w:t xml:space="preserve"> des matières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42B" w:rsidRPr="00652EB8" w:rsidRDefault="00E9242B" w:rsidP="00432D1B">
    <w:pPr>
      <w:pStyle w:val="Pieddepage"/>
      <w:tabs>
        <w:tab w:val="clear" w:pos="4536"/>
        <w:tab w:val="clear" w:pos="9072"/>
        <w:tab w:val="right" w:pos="8364"/>
        <w:tab w:val="right" w:pos="12780"/>
      </w:tabs>
      <w:ind w:right="-15"/>
      <w:rPr>
        <w:lang w:val="fr-FR"/>
      </w:rPr>
    </w:pPr>
    <w:r>
      <w:rPr>
        <w:sz w:val="20"/>
        <w:lang w:val="fr-BE"/>
      </w:rPr>
      <w:t>Contribution au RAMO – Annexes – juin 2019</w:t>
    </w:r>
    <w:r>
      <w:rPr>
        <w:sz w:val="20"/>
        <w:lang w:val="fr-FR"/>
      </w:rPr>
      <w:tab/>
      <w:t>Acronymes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42B" w:rsidRPr="00652EB8" w:rsidRDefault="00E9242B" w:rsidP="0050022D">
    <w:pPr>
      <w:pStyle w:val="Pieddepage"/>
      <w:tabs>
        <w:tab w:val="clear" w:pos="4536"/>
        <w:tab w:val="right" w:pos="12780"/>
      </w:tabs>
      <w:ind w:right="-15"/>
      <w:rPr>
        <w:lang w:val="fr-FR"/>
      </w:rPr>
    </w:pPr>
    <w:r>
      <w:rPr>
        <w:sz w:val="20"/>
        <w:lang w:val="fr-BE"/>
      </w:rPr>
      <w:t>Contribution au RAMO – Annexes – juin 2019</w:t>
    </w:r>
    <w:r>
      <w:rPr>
        <w:sz w:val="20"/>
        <w:lang w:val="fr-FR"/>
      </w:rPr>
      <w:tab/>
      <w:t xml:space="preserve">Page </w:t>
    </w:r>
    <w:r w:rsidRPr="00432D1B">
      <w:rPr>
        <w:sz w:val="20"/>
        <w:lang w:val="fr-FR"/>
      </w:rPr>
      <w:fldChar w:fldCharType="begin"/>
    </w:r>
    <w:r w:rsidRPr="00432D1B">
      <w:rPr>
        <w:sz w:val="20"/>
        <w:lang w:val="fr-FR"/>
      </w:rPr>
      <w:instrText xml:space="preserve"> PAGE   \* MERGEFORMAT </w:instrText>
    </w:r>
    <w:r w:rsidRPr="00432D1B">
      <w:rPr>
        <w:sz w:val="20"/>
        <w:lang w:val="fr-FR"/>
      </w:rPr>
      <w:fldChar w:fldCharType="separate"/>
    </w:r>
    <w:r>
      <w:rPr>
        <w:noProof/>
        <w:sz w:val="20"/>
        <w:lang w:val="fr-FR"/>
      </w:rPr>
      <w:t>1</w:t>
    </w:r>
    <w:r w:rsidRPr="00432D1B">
      <w:rPr>
        <w:noProof/>
        <w:sz w:val="20"/>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42B" w:rsidRDefault="00E9242B" w:rsidP="0024389F">
      <w:r>
        <w:separator/>
      </w:r>
    </w:p>
  </w:footnote>
  <w:footnote w:type="continuationSeparator" w:id="0">
    <w:p w:rsidR="00E9242B" w:rsidRDefault="00E9242B" w:rsidP="0024389F">
      <w:r>
        <w:continuationSeparator/>
      </w:r>
    </w:p>
  </w:footnote>
  <w:footnote w:id="1">
    <w:p w:rsidR="00E9242B" w:rsidRPr="0050022D" w:rsidRDefault="00E9242B" w:rsidP="00FF6BF3">
      <w:pPr>
        <w:pStyle w:val="Notedebasdepage"/>
        <w:rPr>
          <w:szCs w:val="18"/>
        </w:rPr>
      </w:pPr>
      <w:r w:rsidRPr="0050022D">
        <w:rPr>
          <w:rStyle w:val="Appelnotedebasdep"/>
          <w:szCs w:val="18"/>
        </w:rPr>
        <w:footnoteRef/>
      </w:r>
      <w:r w:rsidRPr="0050022D">
        <w:rPr>
          <w:szCs w:val="18"/>
        </w:rPr>
        <w:t xml:space="preserve"> L’EES inclut une analyse des alternatives, mais non l’analyse de l’alternative consistant à ne pas avoir de PDR 2014-2020. L’analyse des alternatives menée par l’ESS explore plutôt des variations autour de l’option de base en vue d’estimer quels ajustements pourraient éventuellement être proposés.</w:t>
      </w:r>
    </w:p>
  </w:footnote>
  <w:footnote w:id="2">
    <w:p w:rsidR="00E9242B" w:rsidRPr="0050022D" w:rsidRDefault="00E9242B" w:rsidP="00BC5BDB">
      <w:pPr>
        <w:pStyle w:val="Notedebasdepage"/>
        <w:rPr>
          <w:szCs w:val="18"/>
        </w:rPr>
      </w:pPr>
      <w:r w:rsidRPr="0050022D">
        <w:rPr>
          <w:rStyle w:val="Appelnotedebasdep"/>
          <w:szCs w:val="18"/>
        </w:rPr>
        <w:footnoteRef/>
      </w:r>
      <w:r w:rsidRPr="0050022D">
        <w:rPr>
          <w:szCs w:val="18"/>
        </w:rPr>
        <w:t xml:space="preserve"> La méthode MB1 y contribue également mais la valeur n’est pas systématiquement très haute ; la méthode MC8, bandes aménagées, pour sa part manque de naturalité et ne concerne que de petites surfaces.</w:t>
      </w:r>
    </w:p>
  </w:footnote>
  <w:footnote w:id="3">
    <w:p w:rsidR="00E9242B" w:rsidRPr="0050022D" w:rsidRDefault="00E9242B" w:rsidP="00146DB7">
      <w:pPr>
        <w:pStyle w:val="Notedebasdepage"/>
        <w:rPr>
          <w:szCs w:val="18"/>
        </w:rPr>
      </w:pPr>
      <w:r w:rsidRPr="0050022D">
        <w:rPr>
          <w:rStyle w:val="Appelnotedebasdep"/>
          <w:szCs w:val="18"/>
        </w:rPr>
        <w:footnoteRef/>
      </w:r>
      <w:r w:rsidRPr="0050022D">
        <w:rPr>
          <w:szCs w:val="18"/>
        </w:rPr>
        <w:t xml:space="preserve"> http://dps.environnement.wallonie.be/home/matieres/boues-depuration.html</w:t>
      </w:r>
    </w:p>
  </w:footnote>
  <w:footnote w:id="4">
    <w:p w:rsidR="00E9242B" w:rsidRPr="0050022D" w:rsidRDefault="00E9242B" w:rsidP="00146DB7">
      <w:pPr>
        <w:pStyle w:val="Notedebasdepage"/>
        <w:rPr>
          <w:szCs w:val="18"/>
        </w:rPr>
      </w:pPr>
      <w:r w:rsidRPr="0050022D">
        <w:rPr>
          <w:rStyle w:val="Appelnotedebasdep"/>
          <w:szCs w:val="18"/>
        </w:rPr>
        <w:footnoteRef/>
      </w:r>
      <w:r w:rsidRPr="0050022D">
        <w:rPr>
          <w:szCs w:val="18"/>
        </w:rPr>
        <w:t xml:space="preserve"> Fiche « la valeur agronomique des boues d’épuration »</w:t>
      </w:r>
      <w:r w:rsidRPr="0050022D">
        <w:rPr>
          <w:rFonts w:cs="Arial"/>
          <w:szCs w:val="18"/>
          <w:shd w:val="clear" w:color="auto" w:fill="FFFFFF"/>
        </w:rPr>
        <w:t xml:space="preserve"> www.odegp.com/admin/uploads/la-valeur-agronomique-des-boues-d-puration.pdf</w:t>
      </w:r>
    </w:p>
  </w:footnote>
  <w:footnote w:id="5">
    <w:p w:rsidR="00E9242B" w:rsidRPr="0050022D" w:rsidRDefault="00E9242B" w:rsidP="00146DB7">
      <w:pPr>
        <w:pStyle w:val="Notedebasdepage"/>
        <w:rPr>
          <w:szCs w:val="18"/>
        </w:rPr>
      </w:pPr>
      <w:r w:rsidRPr="0050022D">
        <w:rPr>
          <w:rStyle w:val="Appelnotedebasdep"/>
          <w:szCs w:val="18"/>
        </w:rPr>
        <w:footnoteRef/>
      </w:r>
      <w:r w:rsidRPr="0050022D">
        <w:rPr>
          <w:szCs w:val="18"/>
        </w:rPr>
        <w:t xml:space="preserve"> </w:t>
      </w:r>
      <w:r w:rsidRPr="0050022D">
        <w:rPr>
          <w:rFonts w:cs="Arial"/>
          <w:szCs w:val="18"/>
          <w:shd w:val="clear" w:color="auto" w:fill="FFFFFF"/>
        </w:rPr>
        <w:t>economie.fgov.be/.../Production_cultures_agricoles_estimation_2012_tcm326-20567</w:t>
      </w:r>
    </w:p>
  </w:footnote>
  <w:footnote w:id="6">
    <w:p w:rsidR="00E9242B" w:rsidRPr="0050022D" w:rsidRDefault="00E9242B" w:rsidP="00146DB7">
      <w:pPr>
        <w:pStyle w:val="Notedebasdepage"/>
        <w:rPr>
          <w:szCs w:val="18"/>
        </w:rPr>
      </w:pPr>
      <w:r w:rsidRPr="0050022D">
        <w:rPr>
          <w:rStyle w:val="Appelnotedebasdep"/>
          <w:szCs w:val="18"/>
        </w:rPr>
        <w:footnoteRef/>
      </w:r>
      <w:r w:rsidRPr="0050022D">
        <w:rPr>
          <w:szCs w:val="18"/>
        </w:rPr>
        <w:t xml:space="preserve"> </w:t>
      </w:r>
      <w:proofErr w:type="spellStart"/>
      <w:r w:rsidRPr="0050022D">
        <w:rPr>
          <w:szCs w:val="18"/>
        </w:rPr>
        <w:t>DGoARNE</w:t>
      </w:r>
      <w:proofErr w:type="spellEnd"/>
      <w:r w:rsidRPr="0050022D">
        <w:rPr>
          <w:szCs w:val="18"/>
        </w:rPr>
        <w:t xml:space="preserve"> (2017)</w:t>
      </w:r>
    </w:p>
  </w:footnote>
  <w:footnote w:id="7">
    <w:p w:rsidR="00E9242B" w:rsidRPr="0050022D" w:rsidRDefault="00E9242B" w:rsidP="00146DB7">
      <w:pPr>
        <w:pStyle w:val="Notedebasdepage"/>
        <w:rPr>
          <w:szCs w:val="18"/>
        </w:rPr>
      </w:pPr>
      <w:r w:rsidRPr="0050022D">
        <w:rPr>
          <w:rStyle w:val="Appelnotedebasdep"/>
          <w:szCs w:val="18"/>
        </w:rPr>
        <w:footnoteRef/>
      </w:r>
      <w:r w:rsidRPr="0050022D">
        <w:rPr>
          <w:szCs w:val="18"/>
        </w:rPr>
        <w:t xml:space="preserve"> Coefficients du rapport </w:t>
      </w:r>
      <w:proofErr w:type="spellStart"/>
      <w:r w:rsidRPr="0050022D">
        <w:rPr>
          <w:szCs w:val="18"/>
        </w:rPr>
        <w:t>DGoARNE</w:t>
      </w:r>
      <w:proofErr w:type="spellEnd"/>
      <w:r w:rsidRPr="0050022D">
        <w:rPr>
          <w:szCs w:val="18"/>
        </w:rPr>
        <w:t xml:space="preserve"> (2017, p. 27)</w:t>
      </w:r>
    </w:p>
  </w:footnote>
  <w:footnote w:id="8">
    <w:p w:rsidR="00E9242B" w:rsidRPr="00057CAF" w:rsidRDefault="00E9242B" w:rsidP="00FE454A">
      <w:pPr>
        <w:spacing w:after="160"/>
        <w:rPr>
          <w:rFonts w:eastAsiaTheme="minorHAnsi"/>
          <w:sz w:val="18"/>
          <w:szCs w:val="18"/>
          <w:lang w:val="fr-FR"/>
        </w:rPr>
      </w:pPr>
      <w:r w:rsidRPr="0050022D">
        <w:rPr>
          <w:rStyle w:val="Appelnotedebasdep"/>
          <w:sz w:val="18"/>
          <w:szCs w:val="18"/>
        </w:rPr>
        <w:footnoteRef/>
      </w:r>
      <w:r w:rsidRPr="00057CAF">
        <w:rPr>
          <w:sz w:val="18"/>
          <w:szCs w:val="18"/>
          <w:lang w:val="fr-FR"/>
        </w:rPr>
        <w:t xml:space="preserve"> </w:t>
      </w:r>
      <w:r w:rsidRPr="00057CAF">
        <w:rPr>
          <w:rFonts w:eastAsiaTheme="minorHAnsi" w:cstheme="minorBidi"/>
          <w:sz w:val="18"/>
          <w:szCs w:val="18"/>
          <w:lang w:val="fr-FR"/>
        </w:rPr>
        <w:t xml:space="preserve">Pour les totaux pris en compte voir respectivement Annexe 5, </w:t>
      </w:r>
      <w:r w:rsidRPr="00057CAF">
        <w:rPr>
          <w:sz w:val="18"/>
          <w:szCs w:val="18"/>
          <w:lang w:val="fr-FR"/>
        </w:rPr>
        <w:t>CJ14-5, émissions agricoles de 2017 tirées de l’inventaire 2019 de l’AWAC (</w:t>
      </w:r>
      <w:hyperlink r:id="rId1" w:history="1">
        <w:r w:rsidRPr="00057CAF">
          <w:rPr>
            <w:sz w:val="18"/>
            <w:szCs w:val="18"/>
            <w:u w:val="single"/>
            <w:lang w:val="fr-FR"/>
          </w:rPr>
          <w:t>http://www.awac.be</w:t>
        </w:r>
      </w:hyperlink>
      <w:proofErr w:type="gramStart"/>
      <w:r w:rsidRPr="00057CAF">
        <w:rPr>
          <w:sz w:val="18"/>
          <w:szCs w:val="18"/>
          <w:lang w:val="fr-FR"/>
        </w:rPr>
        <w:t>):</w:t>
      </w:r>
      <w:proofErr w:type="gramEnd"/>
      <w:r w:rsidRPr="00057CAF">
        <w:rPr>
          <w:sz w:val="18"/>
          <w:szCs w:val="18"/>
          <w:lang w:val="fr-FR"/>
        </w:rPr>
        <w:t xml:space="preserve"> 2 202 kT de méthane et 2287 de protoxyde d’azote.</w:t>
      </w:r>
    </w:p>
  </w:footnote>
  <w:footnote w:id="9">
    <w:p w:rsidR="00E9242B" w:rsidRPr="0050022D" w:rsidRDefault="00E9242B" w:rsidP="00EB4CAC">
      <w:pPr>
        <w:pStyle w:val="Notedebasdepage"/>
        <w:rPr>
          <w:szCs w:val="18"/>
        </w:rPr>
      </w:pPr>
      <w:r w:rsidRPr="0050022D">
        <w:rPr>
          <w:rStyle w:val="Appelnotedebasdep"/>
          <w:szCs w:val="18"/>
        </w:rPr>
        <w:footnoteRef/>
      </w:r>
      <w:r w:rsidRPr="0050022D">
        <w:rPr>
          <w:szCs w:val="18"/>
        </w:rPr>
        <w:t xml:space="preserve"> Selon rapport annuel 2019 sur l’évolution de l’économie agricole et horticole</w:t>
      </w:r>
    </w:p>
  </w:footnote>
  <w:footnote w:id="10">
    <w:p w:rsidR="00E9242B" w:rsidRPr="0050022D" w:rsidRDefault="00E9242B" w:rsidP="00EB4CAC">
      <w:pPr>
        <w:pStyle w:val="Notedebasdepage"/>
        <w:rPr>
          <w:szCs w:val="18"/>
        </w:rPr>
      </w:pPr>
      <w:r w:rsidRPr="0050022D">
        <w:rPr>
          <w:rStyle w:val="Appelnotedebasdep"/>
          <w:szCs w:val="18"/>
        </w:rPr>
        <w:footnoteRef/>
      </w:r>
      <w:r w:rsidRPr="0050022D">
        <w:rPr>
          <w:szCs w:val="18"/>
        </w:rPr>
        <w:t xml:space="preserve"> Donnée 74 aberrante : plus de 5000 ! peut-être s’agit-il d’autres animaux</w:t>
      </w:r>
    </w:p>
  </w:footnote>
  <w:footnote w:id="11">
    <w:p w:rsidR="00E9242B" w:rsidRPr="0050022D" w:rsidRDefault="00E9242B" w:rsidP="00EB4CAC">
      <w:pPr>
        <w:pStyle w:val="Notedebasdepage"/>
        <w:rPr>
          <w:szCs w:val="18"/>
        </w:rPr>
      </w:pPr>
      <w:r w:rsidRPr="0050022D">
        <w:rPr>
          <w:rStyle w:val="Appelnotedebasdep"/>
          <w:szCs w:val="18"/>
        </w:rPr>
        <w:footnoteRef/>
      </w:r>
      <w:r w:rsidRPr="0050022D">
        <w:rPr>
          <w:szCs w:val="18"/>
        </w:rPr>
        <w:t xml:space="preserve"> Les répondants dont la réponse n’est pas en ligne avec la question ont été éliminés.</w:t>
      </w:r>
    </w:p>
  </w:footnote>
  <w:footnote w:id="12">
    <w:p w:rsidR="00E9242B" w:rsidRPr="0050022D" w:rsidRDefault="00E9242B">
      <w:pPr>
        <w:pStyle w:val="Notedebasdepage"/>
        <w:rPr>
          <w:szCs w:val="18"/>
        </w:rPr>
      </w:pPr>
      <w:r w:rsidRPr="0050022D">
        <w:rPr>
          <w:rStyle w:val="Appelnotedebasdep"/>
          <w:szCs w:val="18"/>
        </w:rPr>
        <w:footnoteRef/>
      </w:r>
      <w:r w:rsidRPr="0050022D">
        <w:rPr>
          <w:szCs w:val="18"/>
        </w:rPr>
        <w:t xml:space="preserve"> Par exemple </w:t>
      </w:r>
      <w:r w:rsidRPr="0050022D">
        <w:rPr>
          <w:rFonts w:cstheme="minorHAnsi"/>
          <w:szCs w:val="18"/>
        </w:rPr>
        <w:t xml:space="preserve">la biodiversité est un terme qui ne fait pas sens pour tous les acteurs, ou pas le même sens, et n’est pas le seul aspect de l’environnement affecté par les mesures qui la concernent, les notions de territoire ou de paysage pourraient davantage être mises en avant comme support de la réflexion collective sur ce qu’il convient d’en faire. </w:t>
      </w:r>
      <w:r w:rsidRPr="0050022D">
        <w:rPr>
          <w:szCs w:val="18"/>
        </w:rPr>
        <w:t>Les services écosystémiques peuvent également donner lieu à des représentations et attentes distinctes selon les groupes sociaux. Cette notion étant une construction récente et une représentation non universellement partagée, la question se pose du sens qu’elle a chez les agriculteurs et sylviculteurs dans la mesure où cette notion attribue aux écosystèmes ou à la nature, plutôt qu’à leur travail, les services issus des terres agricoles et des forêts et dans la mesure où ils sont quotidiennement aux prises avec le besoin de contrer des processus inverses des SE, en l’occurrence les dommages aux cultures.</w:t>
      </w:r>
    </w:p>
  </w:footnote>
  <w:footnote w:id="13">
    <w:p w:rsidR="00E9242B" w:rsidRPr="00057CAF" w:rsidRDefault="00E9242B" w:rsidP="004B15DF">
      <w:pPr>
        <w:rPr>
          <w:rFonts w:eastAsiaTheme="minorHAnsi"/>
          <w:sz w:val="18"/>
          <w:szCs w:val="18"/>
          <w:lang w:val="fr-FR"/>
        </w:rPr>
      </w:pPr>
      <w:r w:rsidRPr="0050022D">
        <w:rPr>
          <w:rStyle w:val="Appelnotedebasdep"/>
          <w:sz w:val="18"/>
          <w:szCs w:val="18"/>
        </w:rPr>
        <w:footnoteRef/>
      </w:r>
      <w:r w:rsidRPr="00057CAF">
        <w:rPr>
          <w:sz w:val="18"/>
          <w:szCs w:val="18"/>
          <w:lang w:val="fr-FR"/>
        </w:rPr>
        <w:t xml:space="preserve"> </w:t>
      </w:r>
      <w:r w:rsidRPr="00057CAF">
        <w:rPr>
          <w:rFonts w:eastAsiaTheme="minorHAnsi"/>
          <w:sz w:val="18"/>
          <w:szCs w:val="18"/>
          <w:lang w:val="fr-FR"/>
        </w:rPr>
        <w:t xml:space="preserve">Le RAMO (2016) déplorait que l’indicateur T8 "Pourcentage des forêts ou autres zones boisées sous contrats de gestion soutenant la biodiversité" était encore loin de son niveau cible (50% en 2015), alors que du point de vue de la dépense publique c’est plutôt une bonne nouvelle s’agissant d’indemnités et non d’incitants à une action favorable. </w:t>
      </w:r>
    </w:p>
    <w:p w:rsidR="00E9242B" w:rsidRPr="0050022D" w:rsidRDefault="00E9242B">
      <w:pPr>
        <w:pStyle w:val="Notedebasdepage"/>
        <w:rPr>
          <w:szCs w:val="18"/>
        </w:rPr>
      </w:pPr>
    </w:p>
  </w:footnote>
  <w:footnote w:id="14">
    <w:p w:rsidR="00E9242B" w:rsidRPr="00057CAF" w:rsidRDefault="00E9242B" w:rsidP="009716CF">
      <w:pPr>
        <w:rPr>
          <w:rFonts w:cstheme="minorHAnsi"/>
          <w:sz w:val="18"/>
          <w:szCs w:val="18"/>
          <w:lang w:val="fr-FR"/>
        </w:rPr>
      </w:pPr>
      <w:r w:rsidRPr="0050022D">
        <w:rPr>
          <w:rStyle w:val="Appelnotedebasdep"/>
          <w:sz w:val="18"/>
          <w:szCs w:val="18"/>
        </w:rPr>
        <w:footnoteRef/>
      </w:r>
      <w:r w:rsidRPr="00057CAF">
        <w:rPr>
          <w:sz w:val="18"/>
          <w:szCs w:val="18"/>
          <w:lang w:val="fr-FR"/>
        </w:rPr>
        <w:t xml:space="preserve"> https://www.interregeurope.eu/fileadmin/user_upload/tx_tevprojects/library/2-4-BID-REX_piqueray.pdf</w:t>
      </w:r>
    </w:p>
    <w:p w:rsidR="00E9242B" w:rsidRPr="0050022D" w:rsidRDefault="00E9242B" w:rsidP="009716CF">
      <w:pPr>
        <w:pStyle w:val="Notedebasdepage"/>
        <w:rPr>
          <w:szCs w:val="18"/>
        </w:rPr>
      </w:pPr>
    </w:p>
  </w:footnote>
  <w:footnote w:id="15">
    <w:p w:rsidR="00E9242B" w:rsidRPr="007947CE" w:rsidRDefault="00E9242B" w:rsidP="006C4767">
      <w:pPr>
        <w:pStyle w:val="Notedebasdepage"/>
        <w:rPr>
          <w:szCs w:val="18"/>
        </w:rPr>
      </w:pPr>
      <w:r w:rsidRPr="007947CE">
        <w:rPr>
          <w:rStyle w:val="Appelnotedebasdep"/>
          <w:szCs w:val="18"/>
        </w:rPr>
        <w:footnoteRef/>
      </w:r>
      <w:r w:rsidRPr="007947CE">
        <w:rPr>
          <w:szCs w:val="18"/>
        </w:rPr>
        <w:t xml:space="preserve"> </w:t>
      </w:r>
      <w:r w:rsidRPr="007947CE">
        <w:rPr>
          <w:szCs w:val="18"/>
        </w:rPr>
        <w:tab/>
      </w:r>
      <w:r w:rsidRPr="007947CE">
        <w:rPr>
          <w:rFonts w:cs="Calibri"/>
          <w:szCs w:val="18"/>
        </w:rPr>
        <w:t>Evolution de l’économie agricole et horticole de la Wallonie (2019)</w:t>
      </w:r>
    </w:p>
  </w:footnote>
  <w:footnote w:id="16">
    <w:p w:rsidR="00E9242B" w:rsidRPr="007947CE" w:rsidRDefault="00E9242B" w:rsidP="006C4767">
      <w:pPr>
        <w:pStyle w:val="Notedebasdepage"/>
        <w:rPr>
          <w:szCs w:val="18"/>
        </w:rPr>
      </w:pPr>
      <w:r w:rsidRPr="007947CE">
        <w:rPr>
          <w:rStyle w:val="Appelnotedebasdep"/>
          <w:szCs w:val="18"/>
        </w:rPr>
        <w:footnoteRef/>
      </w:r>
      <w:r w:rsidRPr="007947CE">
        <w:rPr>
          <w:szCs w:val="18"/>
        </w:rPr>
        <w:t xml:space="preserve"> </w:t>
      </w:r>
      <w:r>
        <w:rPr>
          <w:szCs w:val="18"/>
        </w:rPr>
        <w:tab/>
      </w:r>
      <w:r w:rsidRPr="007947CE">
        <w:rPr>
          <w:szCs w:val="18"/>
        </w:rPr>
        <w:t>Notons que peu de participants aux GT ont répondu à l’enquête, variant entre 8 pour le GT « biodiversité » et 1 pour le GT Infrastructures de santé. Aucun membre du GT Forêt n’a répondu à l’enquête.</w:t>
      </w:r>
    </w:p>
    <w:p w:rsidR="00E9242B" w:rsidRPr="007947CE" w:rsidRDefault="00E9242B" w:rsidP="006C4767">
      <w:pPr>
        <w:pStyle w:val="Notedebasdepage"/>
        <w:rPr>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42B" w:rsidRDefault="00E9242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42B" w:rsidRDefault="00E9242B">
    <w:pPr>
      <w:pStyle w:val="En-tte"/>
    </w:pPr>
    <w:r>
      <w:rPr>
        <w:noProof/>
      </w:rPr>
      <w:drawing>
        <wp:anchor distT="0" distB="0" distL="114300" distR="114300" simplePos="0" relativeHeight="251661312" behindDoc="0" locked="0" layoutInCell="1" allowOverlap="1" wp14:anchorId="4A8CA4A0" wp14:editId="293E44EC">
          <wp:simplePos x="0" y="0"/>
          <wp:positionH relativeFrom="margin">
            <wp:posOffset>4796275</wp:posOffset>
          </wp:positionH>
          <wp:positionV relativeFrom="margin">
            <wp:posOffset>-1042670</wp:posOffset>
          </wp:positionV>
          <wp:extent cx="933450" cy="647700"/>
          <wp:effectExtent l="0" t="0" r="0" b="0"/>
          <wp:wrapSquare wrapText="bothSides"/>
          <wp:docPr id="245" name="Picture 245" descr="Épices 2li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es 2lignes"/>
                  <pic:cNvPicPr>
                    <a:picLocks noChangeAspect="1" noChangeArrowheads="1"/>
                  </pic:cNvPicPr>
                </pic:nvPicPr>
                <pic:blipFill>
                  <a:blip r:embed="rId1">
                    <a:extLst>
                      <a:ext uri="{28A0092B-C50C-407E-A947-70E740481C1C}">
                        <a14:useLocalDpi xmlns:a14="http://schemas.microsoft.com/office/drawing/2010/main" val="0"/>
                      </a:ext>
                    </a:extLst>
                  </a:blip>
                  <a:srcRect l="18764" r="19035" b="29808"/>
                  <a:stretch>
                    <a:fillRect/>
                  </a:stretch>
                </pic:blipFill>
                <pic:spPr bwMode="auto">
                  <a:xfrm>
                    <a:off x="0" y="0"/>
                    <a:ext cx="9334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editId="27B50EB1">
          <wp:simplePos x="0" y="0"/>
          <wp:positionH relativeFrom="column">
            <wp:posOffset>2369357</wp:posOffset>
          </wp:positionH>
          <wp:positionV relativeFrom="paragraph">
            <wp:posOffset>-72681</wp:posOffset>
          </wp:positionV>
          <wp:extent cx="1595755" cy="664210"/>
          <wp:effectExtent l="0" t="0" r="4445" b="2540"/>
          <wp:wrapSquare wrapText="bothSides"/>
          <wp:docPr id="246" name="Picture 24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7"/>
                  <pic:cNvPicPr>
                    <a:picLocks noGrp="1"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29FE123" wp14:editId="46889446">
          <wp:simplePos x="0" y="0"/>
          <wp:positionH relativeFrom="column">
            <wp:posOffset>14605</wp:posOffset>
          </wp:positionH>
          <wp:positionV relativeFrom="paragraph">
            <wp:posOffset>0</wp:posOffset>
          </wp:positionV>
          <wp:extent cx="1800225" cy="542925"/>
          <wp:effectExtent l="0" t="0" r="9525" b="9525"/>
          <wp:wrapThrough wrapText="bothSides">
            <wp:wrapPolygon edited="0">
              <wp:start x="0" y="0"/>
              <wp:lineTo x="0" y="21221"/>
              <wp:lineTo x="21486" y="21221"/>
              <wp:lineTo x="21486" y="0"/>
              <wp:lineTo x="0" y="0"/>
            </wp:wrapPolygon>
          </wp:wrapThrough>
          <wp:docPr id="247" name="Picture 247" descr="ADE_FR_01006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E_FR_0100643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42B" w:rsidRDefault="00E9242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42B" w:rsidRPr="00432D1B" w:rsidRDefault="00E9242B" w:rsidP="00432D1B">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42B" w:rsidRDefault="00E9242B" w:rsidP="00432D1B">
    <w:pPr>
      <w:tabs>
        <w:tab w:val="right" w:pos="8505"/>
      </w:tabs>
      <w:jc w:val="left"/>
      <w:rPr>
        <w:smallCaps/>
        <w:sz w:val="20"/>
        <w:lang w:val="fr-BE"/>
      </w:rPr>
    </w:pPr>
    <w:r>
      <w:rPr>
        <w:smallCaps/>
        <w:sz w:val="20"/>
        <w:lang w:val="fr-BE"/>
      </w:rPr>
      <w:t xml:space="preserve">Evaluation du Programme wallon </w:t>
    </w:r>
  </w:p>
  <w:p w:rsidR="00E9242B" w:rsidRPr="008600C3" w:rsidRDefault="00E9242B" w:rsidP="00432D1B">
    <w:pPr>
      <w:tabs>
        <w:tab w:val="right" w:pos="8505"/>
      </w:tabs>
      <w:jc w:val="left"/>
      <w:rPr>
        <w:lang w:val="fr-BE"/>
      </w:rPr>
    </w:pPr>
    <w:r>
      <w:rPr>
        <w:smallCaps/>
        <w:sz w:val="20"/>
        <w:lang w:val="fr-BE"/>
      </w:rPr>
      <w:t>de développement rural 2014-2020</w:t>
    </w:r>
    <w:r>
      <w:rPr>
        <w:sz w:val="20"/>
        <w:lang w:val="fr-BE"/>
      </w:rPr>
      <w:tab/>
    </w:r>
    <w:r w:rsidRPr="00587FB7">
      <w:rPr>
        <w:b/>
        <w:bCs/>
        <w:szCs w:val="24"/>
        <w:lang w:val="fr-BE"/>
      </w:rPr>
      <w:t>A</w:t>
    </w:r>
    <w:r>
      <w:rPr>
        <w:b/>
        <w:bCs/>
        <w:szCs w:val="24"/>
        <w:lang w:val="fr-BE"/>
      </w:rPr>
      <w:t xml:space="preserve">DE / </w:t>
    </w:r>
    <w:proofErr w:type="spellStart"/>
    <w:r>
      <w:rPr>
        <w:b/>
        <w:bCs/>
        <w:szCs w:val="24"/>
        <w:lang w:val="fr-BE"/>
      </w:rPr>
      <w:t>ULg-GxABT</w:t>
    </w:r>
    <w:proofErr w:type="spellEnd"/>
    <w:r>
      <w:rPr>
        <w:b/>
        <w:bCs/>
        <w:szCs w:val="24"/>
        <w:lang w:val="fr-BE"/>
      </w:rPr>
      <w:t xml:space="preserve"> / Epices</w:t>
    </w:r>
  </w:p>
  <w:p w:rsidR="00E9242B" w:rsidRPr="002E1CEC" w:rsidRDefault="00E9242B" w:rsidP="00432D1B">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42B" w:rsidRDefault="00E9242B" w:rsidP="00432D1B">
    <w:pPr>
      <w:tabs>
        <w:tab w:val="right" w:pos="8505"/>
      </w:tabs>
      <w:jc w:val="left"/>
      <w:rPr>
        <w:smallCaps/>
        <w:sz w:val="20"/>
        <w:lang w:val="fr-BE"/>
      </w:rPr>
    </w:pPr>
    <w:r>
      <w:rPr>
        <w:smallCaps/>
        <w:sz w:val="20"/>
        <w:lang w:val="fr-BE"/>
      </w:rPr>
      <w:t xml:space="preserve">Evaluation du Programme wallon </w:t>
    </w:r>
  </w:p>
  <w:p w:rsidR="00E9242B" w:rsidRPr="008600C3" w:rsidRDefault="00E9242B" w:rsidP="00432D1B">
    <w:pPr>
      <w:tabs>
        <w:tab w:val="right" w:pos="8505"/>
      </w:tabs>
      <w:jc w:val="left"/>
      <w:rPr>
        <w:lang w:val="fr-BE"/>
      </w:rPr>
    </w:pPr>
    <w:r>
      <w:rPr>
        <w:smallCaps/>
        <w:sz w:val="20"/>
        <w:lang w:val="fr-BE"/>
      </w:rPr>
      <w:t>de développement rural 2014-2020</w:t>
    </w:r>
    <w:r>
      <w:rPr>
        <w:sz w:val="20"/>
        <w:lang w:val="fr-BE"/>
      </w:rPr>
      <w:tab/>
    </w:r>
    <w:r w:rsidRPr="00587FB7">
      <w:rPr>
        <w:b/>
        <w:bCs/>
        <w:szCs w:val="24"/>
        <w:lang w:val="fr-BE"/>
      </w:rPr>
      <w:t>A</w:t>
    </w:r>
    <w:r>
      <w:rPr>
        <w:b/>
        <w:bCs/>
        <w:szCs w:val="24"/>
        <w:lang w:val="fr-BE"/>
      </w:rPr>
      <w:t xml:space="preserve">DE / </w:t>
    </w:r>
    <w:proofErr w:type="spellStart"/>
    <w:r>
      <w:rPr>
        <w:b/>
        <w:bCs/>
        <w:szCs w:val="24"/>
        <w:lang w:val="fr-BE"/>
      </w:rPr>
      <w:t>ULg-GxABT</w:t>
    </w:r>
    <w:proofErr w:type="spellEnd"/>
    <w:r>
      <w:rPr>
        <w:b/>
        <w:bCs/>
        <w:szCs w:val="24"/>
        <w:lang w:val="fr-BE"/>
      </w:rPr>
      <w:t xml:space="preserve"> / Epices</w:t>
    </w:r>
  </w:p>
  <w:p w:rsidR="00E9242B" w:rsidRPr="002E1CEC" w:rsidRDefault="00E9242B" w:rsidP="00432D1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B2C98F6"/>
    <w:lvl w:ilvl="0">
      <w:start w:val="1"/>
      <w:numFmt w:val="bullet"/>
      <w:lvlText w:val="-"/>
      <w:lvlJc w:val="left"/>
      <w:pPr>
        <w:tabs>
          <w:tab w:val="num" w:pos="794"/>
        </w:tabs>
        <w:ind w:left="794" w:hanging="397"/>
      </w:pPr>
      <w:rPr>
        <w:rFonts w:hint="default"/>
        <w:sz w:val="20"/>
      </w:rPr>
    </w:lvl>
  </w:abstractNum>
  <w:abstractNum w:abstractNumId="1" w15:restartNumberingAfterBreak="0">
    <w:nsid w:val="FFFFFF89"/>
    <w:multiLevelType w:val="singleLevel"/>
    <w:tmpl w:val="731EB64E"/>
    <w:lvl w:ilvl="0">
      <w:start w:val="3"/>
      <w:numFmt w:val="bullet"/>
      <w:lvlText w:val=""/>
      <w:lvlJc w:val="left"/>
      <w:pPr>
        <w:tabs>
          <w:tab w:val="num" w:pos="397"/>
        </w:tabs>
        <w:ind w:left="397" w:hanging="397"/>
      </w:pPr>
      <w:rPr>
        <w:rFonts w:ascii="Wingdings" w:hAnsi="Wingdings" w:cs="Times New Roman" w:hint="default"/>
        <w:b w:val="0"/>
        <w:i w:val="0"/>
      </w:rPr>
    </w:lvl>
  </w:abstractNum>
  <w:abstractNum w:abstractNumId="2" w15:restartNumberingAfterBreak="0">
    <w:nsid w:val="01E37DA2"/>
    <w:multiLevelType w:val="multilevel"/>
    <w:tmpl w:val="2F60E74C"/>
    <w:lvl w:ilvl="0">
      <w:start w:val="1"/>
      <w:numFmt w:val="bullet"/>
      <w:lvlText w:val="-"/>
      <w:lvlJc w:val="left"/>
      <w:pPr>
        <w:tabs>
          <w:tab w:val="num" w:pos="757"/>
        </w:tabs>
        <w:ind w:left="737" w:hanging="34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5409E2"/>
    <w:multiLevelType w:val="hybridMultilevel"/>
    <w:tmpl w:val="A7CA76A6"/>
    <w:lvl w:ilvl="0" w:tplc="7640035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A85429"/>
    <w:multiLevelType w:val="hybridMultilevel"/>
    <w:tmpl w:val="E356E9C6"/>
    <w:lvl w:ilvl="0" w:tplc="601C7EBA">
      <w:start w:val="1"/>
      <w:numFmt w:val="bullet"/>
      <w:pStyle w:val="bullets"/>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C465747"/>
    <w:multiLevelType w:val="hybridMultilevel"/>
    <w:tmpl w:val="F25AF734"/>
    <w:lvl w:ilvl="0" w:tplc="E7BA6D7A">
      <w:numFmt w:val="bullet"/>
      <w:lvlText w:val="-"/>
      <w:lvlJc w:val="left"/>
      <w:pPr>
        <w:ind w:left="720" w:hanging="360"/>
      </w:pPr>
      <w:rPr>
        <w:rFonts w:ascii="Garamond" w:eastAsia="Times New Roman" w:hAnsi="Garamond" w:cs="Times New Roman" w:hint="default"/>
      </w:rPr>
    </w:lvl>
    <w:lvl w:ilvl="1" w:tplc="080C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F45C7"/>
    <w:multiLevelType w:val="hybridMultilevel"/>
    <w:tmpl w:val="54FA748A"/>
    <w:lvl w:ilvl="0" w:tplc="60E00E04">
      <w:start w:val="1"/>
      <w:numFmt w:val="bullet"/>
      <w:lvlText w:val=""/>
      <w:lvlJc w:val="left"/>
      <w:pPr>
        <w:tabs>
          <w:tab w:val="num" w:pos="369"/>
        </w:tabs>
        <w:ind w:left="369" w:hanging="369"/>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0779BD"/>
    <w:multiLevelType w:val="hybridMultilevel"/>
    <w:tmpl w:val="1832A158"/>
    <w:lvl w:ilvl="0" w:tplc="6532C0C8">
      <w:start w:val="3"/>
      <w:numFmt w:val="bullet"/>
      <w:pStyle w:val="Listepuces2"/>
      <w:lvlText w:val="-"/>
      <w:lvlJc w:val="left"/>
      <w:pPr>
        <w:tabs>
          <w:tab w:val="num" w:pos="851"/>
        </w:tabs>
        <w:ind w:left="851" w:hanging="426"/>
      </w:pPr>
      <w:rPr>
        <w:rFonts w:ascii="Garamond" w:hAnsi="Garamond" w:cs="Times New Roman" w:hint="default"/>
        <w:b w:val="0"/>
        <w:i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E3471A"/>
    <w:multiLevelType w:val="multilevel"/>
    <w:tmpl w:val="3C26E4F0"/>
    <w:lvl w:ilvl="0">
      <w:start w:val="1"/>
      <w:numFmt w:val="decimal"/>
      <w:lvlText w:val="%1."/>
      <w:lvlJc w:val="left"/>
      <w:pPr>
        <w:tabs>
          <w:tab w:val="num" w:pos="72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2BAA5319"/>
    <w:multiLevelType w:val="hybridMultilevel"/>
    <w:tmpl w:val="4F9EF854"/>
    <w:lvl w:ilvl="0" w:tplc="E7BA6D7A">
      <w:numFmt w:val="bullet"/>
      <w:lvlText w:val="-"/>
      <w:lvlJc w:val="left"/>
      <w:pPr>
        <w:ind w:left="720" w:hanging="360"/>
      </w:pPr>
      <w:rPr>
        <w:rFonts w:ascii="Garamond" w:eastAsia="Times New Roman" w:hAnsi="Garamond" w:cs="Times New Roman" w:hint="default"/>
      </w:rPr>
    </w:lvl>
    <w:lvl w:ilvl="1" w:tplc="080C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D42F5C"/>
    <w:multiLevelType w:val="multilevel"/>
    <w:tmpl w:val="0F50BBD4"/>
    <w:lvl w:ilvl="0">
      <w:start w:val="1"/>
      <w:numFmt w:val="decimal"/>
      <w:lvlText w:val="%1."/>
      <w:lvlJc w:val="left"/>
      <w:pPr>
        <w:tabs>
          <w:tab w:val="num" w:pos="72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08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7BB33AB"/>
    <w:multiLevelType w:val="hybridMultilevel"/>
    <w:tmpl w:val="D9669680"/>
    <w:lvl w:ilvl="0" w:tplc="049C4946">
      <w:numFmt w:val="bullet"/>
      <w:lvlText w:val="-"/>
      <w:lvlJc w:val="left"/>
      <w:pPr>
        <w:ind w:left="720" w:hanging="360"/>
      </w:pPr>
      <w:rPr>
        <w:rFonts w:ascii="Calibri" w:eastAsiaTheme="minorHAnsi" w:hAnsi="Calibri" w:cs="Calibri" w:hint="default"/>
      </w:rPr>
    </w:lvl>
    <w:lvl w:ilvl="1" w:tplc="080C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CC20A2"/>
    <w:multiLevelType w:val="multilevel"/>
    <w:tmpl w:val="784A2ED4"/>
    <w:lvl w:ilvl="0">
      <w:start w:val="1"/>
      <w:numFmt w:val="decimal"/>
      <w:lvlText w:val="%1."/>
      <w:lvlJc w:val="left"/>
      <w:pPr>
        <w:tabs>
          <w:tab w:val="num" w:pos="720"/>
        </w:tabs>
        <w:ind w:left="340" w:hanging="340"/>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80"/>
        </w:tabs>
        <w:ind w:left="624" w:hanging="624"/>
      </w:pPr>
      <w:rPr>
        <w:rFonts w:hint="default"/>
      </w:rPr>
    </w:lvl>
    <w:lvl w:ilvl="3">
      <w:start w:val="1"/>
      <w:numFmt w:val="decimal"/>
      <w:lvlRestart w:val="0"/>
      <w:lvlText w:val="%1.%2.%3.%4"/>
      <w:lvlJc w:val="left"/>
      <w:pPr>
        <w:tabs>
          <w:tab w:val="num" w:pos="964"/>
        </w:tabs>
        <w:ind w:left="964" w:hanging="964"/>
      </w:pPr>
      <w:rPr>
        <w:rFonts w:hint="default"/>
      </w:rPr>
    </w:lvl>
    <w:lvl w:ilvl="4">
      <w:start w:val="1"/>
      <w:numFmt w:val="decimal"/>
      <w:suff w:val="nothing"/>
      <w:lvlText w:val="%1.%2.%3.%4.%5"/>
      <w:lvlJc w:val="left"/>
      <w:pPr>
        <w:ind w:left="1134"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3" w15:restartNumberingAfterBreak="0">
    <w:nsid w:val="5182402C"/>
    <w:multiLevelType w:val="hybridMultilevel"/>
    <w:tmpl w:val="32205102"/>
    <w:lvl w:ilvl="0" w:tplc="4156DFF4">
      <w:start w:val="3"/>
      <w:numFmt w:val="bullet"/>
      <w:pStyle w:val="Titr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991173"/>
    <w:multiLevelType w:val="hybridMultilevel"/>
    <w:tmpl w:val="22743AEA"/>
    <w:lvl w:ilvl="0" w:tplc="4DC056F6">
      <w:start w:val="1"/>
      <w:numFmt w:val="bullet"/>
      <w:pStyle w:val="Listepuces"/>
      <w:lvlText w:val=""/>
      <w:lvlJc w:val="left"/>
      <w:pPr>
        <w:tabs>
          <w:tab w:val="num" w:pos="369"/>
        </w:tabs>
        <w:ind w:left="369" w:hanging="369"/>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015C74"/>
    <w:multiLevelType w:val="hybridMultilevel"/>
    <w:tmpl w:val="419A302A"/>
    <w:lvl w:ilvl="0" w:tplc="049C4946">
      <w:numFmt w:val="bullet"/>
      <w:lvlText w:val="-"/>
      <w:lvlJc w:val="left"/>
      <w:pPr>
        <w:ind w:left="720" w:hanging="360"/>
      </w:pPr>
      <w:rPr>
        <w:rFonts w:ascii="Calibri" w:eastAsiaTheme="minorHAnsi" w:hAnsi="Calibri" w:cs="Calibri" w:hint="default"/>
      </w:rPr>
    </w:lvl>
    <w:lvl w:ilvl="1" w:tplc="080C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2C2394"/>
    <w:multiLevelType w:val="hybridMultilevel"/>
    <w:tmpl w:val="36C208DC"/>
    <w:lvl w:ilvl="0" w:tplc="049C49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3053A"/>
    <w:multiLevelType w:val="multilevel"/>
    <w:tmpl w:val="50F2C5B2"/>
    <w:lvl w:ilvl="0">
      <w:start w:val="1"/>
      <w:numFmt w:val="bullet"/>
      <w:lvlText w:val=""/>
      <w:lvlJc w:val="left"/>
      <w:pPr>
        <w:tabs>
          <w:tab w:val="num" w:pos="397"/>
        </w:tabs>
        <w:ind w:left="397" w:hanging="397"/>
      </w:pPr>
      <w:rPr>
        <w:rFonts w:ascii="Wingdings" w:hAnsi="Wingdings" w:hint="default"/>
      </w:rPr>
    </w:lvl>
    <w:lvl w:ilvl="1">
      <w:start w:val="1"/>
      <w:numFmt w:val="bullet"/>
      <w:lvlText w:val=""/>
      <w:lvlJc w:val="left"/>
      <w:pPr>
        <w:tabs>
          <w:tab w:val="num" w:pos="1211"/>
        </w:tabs>
        <w:ind w:left="851" w:firstLine="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7D3A6A76"/>
    <w:multiLevelType w:val="multilevel"/>
    <w:tmpl w:val="13B2DDEC"/>
    <w:lvl w:ilvl="0">
      <w:start w:val="1"/>
      <w:numFmt w:val="decimal"/>
      <w:lvlText w:val="%1."/>
      <w:lvlJc w:val="left"/>
      <w:pPr>
        <w:tabs>
          <w:tab w:val="num" w:pos="-720"/>
        </w:tabs>
        <w:ind w:left="-1080" w:firstLine="0"/>
      </w:pPr>
      <w:rPr>
        <w:rFonts w:hint="default"/>
      </w:rPr>
    </w:lvl>
    <w:lvl w:ilvl="1">
      <w:start w:val="1"/>
      <w:numFmt w:val="decimal"/>
      <w:lvlText w:val="1.%2"/>
      <w:lvlJc w:val="left"/>
      <w:pPr>
        <w:tabs>
          <w:tab w:val="num" w:pos="-720"/>
        </w:tabs>
        <w:ind w:left="-1080" w:firstLine="0"/>
      </w:pPr>
      <w:rPr>
        <w:rFonts w:hint="default"/>
      </w:rPr>
    </w:lvl>
    <w:lvl w:ilvl="2">
      <w:start w:val="1"/>
      <w:numFmt w:val="decimal"/>
      <w:lvlText w:val="%1.%2.%3"/>
      <w:lvlJc w:val="left"/>
      <w:pPr>
        <w:tabs>
          <w:tab w:val="num" w:pos="0"/>
        </w:tabs>
        <w:ind w:left="-1080" w:firstLine="0"/>
      </w:pPr>
      <w:rPr>
        <w:rFonts w:hint="default"/>
      </w:rPr>
    </w:lvl>
    <w:lvl w:ilvl="3">
      <w:start w:val="1"/>
      <w:numFmt w:val="decimal"/>
      <w:lvlText w:val="%1.%2.%3.%4"/>
      <w:lvlJc w:val="left"/>
      <w:pPr>
        <w:tabs>
          <w:tab w:val="num" w:pos="1701"/>
        </w:tabs>
        <w:ind w:left="1701" w:hanging="1701"/>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2160"/>
        </w:tabs>
        <w:ind w:left="1656" w:hanging="936"/>
      </w:pPr>
      <w:rPr>
        <w:rFonts w:hint="default"/>
      </w:rPr>
    </w:lvl>
    <w:lvl w:ilvl="6">
      <w:start w:val="1"/>
      <w:numFmt w:val="decimal"/>
      <w:lvlText w:val="%1.%2.%3.%4.%5.%6.%7."/>
      <w:lvlJc w:val="left"/>
      <w:pPr>
        <w:tabs>
          <w:tab w:val="num" w:pos="2880"/>
        </w:tabs>
        <w:ind w:left="2160" w:hanging="1080"/>
      </w:pPr>
      <w:rPr>
        <w:rFonts w:hint="default"/>
      </w:rPr>
    </w:lvl>
    <w:lvl w:ilvl="7">
      <w:start w:val="1"/>
      <w:numFmt w:val="decimal"/>
      <w:lvlText w:val="%1.%2.%3.%4.%5.%6.%7.%8."/>
      <w:lvlJc w:val="left"/>
      <w:pPr>
        <w:tabs>
          <w:tab w:val="num" w:pos="3240"/>
        </w:tabs>
        <w:ind w:left="2664" w:hanging="1224"/>
      </w:pPr>
      <w:rPr>
        <w:rFonts w:hint="default"/>
      </w:rPr>
    </w:lvl>
    <w:lvl w:ilvl="8">
      <w:start w:val="1"/>
      <w:numFmt w:val="decimal"/>
      <w:lvlText w:val="%1.%2.%3.%4.%5.%6.%7.%8.%9."/>
      <w:lvlJc w:val="left"/>
      <w:pPr>
        <w:tabs>
          <w:tab w:val="num" w:pos="3960"/>
        </w:tabs>
        <w:ind w:left="3240" w:hanging="1440"/>
      </w:pPr>
      <w:rPr>
        <w:rFonts w:hint="default"/>
      </w:rPr>
    </w:lvl>
  </w:abstractNum>
  <w:abstractNum w:abstractNumId="19" w15:restartNumberingAfterBreak="0">
    <w:nsid w:val="7DFD37C8"/>
    <w:multiLevelType w:val="hybridMultilevel"/>
    <w:tmpl w:val="8E78045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4"/>
  </w:num>
  <w:num w:numId="4">
    <w:abstractNumId w:val="11"/>
  </w:num>
  <w:num w:numId="5">
    <w:abstractNumId w:val="15"/>
  </w:num>
  <w:num w:numId="6">
    <w:abstractNumId w:val="9"/>
  </w:num>
  <w:num w:numId="7">
    <w:abstractNumId w:val="5"/>
  </w:num>
  <w:num w:numId="8">
    <w:abstractNumId w:val="17"/>
  </w:num>
  <w:num w:numId="9">
    <w:abstractNumId w:val="2"/>
  </w:num>
  <w:num w:numId="10">
    <w:abstractNumId w:val="1"/>
  </w:num>
  <w:num w:numId="11">
    <w:abstractNumId w:val="0"/>
  </w:num>
  <w:num w:numId="12">
    <w:abstractNumId w:val="3"/>
  </w:num>
  <w:num w:numId="13">
    <w:abstractNumId w:val="8"/>
  </w:num>
  <w:num w:numId="14">
    <w:abstractNumId w:val="10"/>
  </w:num>
  <w:num w:numId="15">
    <w:abstractNumId w:val="18"/>
  </w:num>
  <w:num w:numId="16">
    <w:abstractNumId w:val="12"/>
  </w:num>
  <w:num w:numId="17">
    <w:abstractNumId w:val="7"/>
  </w:num>
  <w:num w:numId="18">
    <w:abstractNumId w:val="14"/>
  </w:num>
  <w:num w:numId="19">
    <w:abstractNumId w:val="6"/>
  </w:num>
  <w:num w:numId="20">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463"/>
    <w:rsid w:val="00010E6C"/>
    <w:rsid w:val="000132AA"/>
    <w:rsid w:val="0001478F"/>
    <w:rsid w:val="00016F61"/>
    <w:rsid w:val="00024170"/>
    <w:rsid w:val="00024FED"/>
    <w:rsid w:val="000312C4"/>
    <w:rsid w:val="00031AD1"/>
    <w:rsid w:val="00032A5D"/>
    <w:rsid w:val="00036A1A"/>
    <w:rsid w:val="00044D7A"/>
    <w:rsid w:val="00044D93"/>
    <w:rsid w:val="00054170"/>
    <w:rsid w:val="00055904"/>
    <w:rsid w:val="00055BA4"/>
    <w:rsid w:val="00057BE5"/>
    <w:rsid w:val="00057CAF"/>
    <w:rsid w:val="00062558"/>
    <w:rsid w:val="00063D0D"/>
    <w:rsid w:val="000641D7"/>
    <w:rsid w:val="00065E5A"/>
    <w:rsid w:val="00066391"/>
    <w:rsid w:val="0007103D"/>
    <w:rsid w:val="0007367C"/>
    <w:rsid w:val="00074531"/>
    <w:rsid w:val="00075A35"/>
    <w:rsid w:val="000851C9"/>
    <w:rsid w:val="00085ACD"/>
    <w:rsid w:val="000907E4"/>
    <w:rsid w:val="00090F11"/>
    <w:rsid w:val="00092499"/>
    <w:rsid w:val="00096B00"/>
    <w:rsid w:val="000A08B0"/>
    <w:rsid w:val="000A3776"/>
    <w:rsid w:val="000B0322"/>
    <w:rsid w:val="000B14F5"/>
    <w:rsid w:val="000B1C61"/>
    <w:rsid w:val="000B48AE"/>
    <w:rsid w:val="000C1213"/>
    <w:rsid w:val="000C4B5B"/>
    <w:rsid w:val="000D1802"/>
    <w:rsid w:val="000D1918"/>
    <w:rsid w:val="000D2F89"/>
    <w:rsid w:val="000D37E1"/>
    <w:rsid w:val="000D74AA"/>
    <w:rsid w:val="000E05F9"/>
    <w:rsid w:val="000E6098"/>
    <w:rsid w:val="000E6D37"/>
    <w:rsid w:val="000E76CA"/>
    <w:rsid w:val="000F0A77"/>
    <w:rsid w:val="000F2674"/>
    <w:rsid w:val="00100622"/>
    <w:rsid w:val="00107258"/>
    <w:rsid w:val="00110A37"/>
    <w:rsid w:val="00111C2A"/>
    <w:rsid w:val="0011608D"/>
    <w:rsid w:val="00116CF2"/>
    <w:rsid w:val="001206CF"/>
    <w:rsid w:val="001233F2"/>
    <w:rsid w:val="00127A5A"/>
    <w:rsid w:val="00127C4A"/>
    <w:rsid w:val="00130B58"/>
    <w:rsid w:val="00130D49"/>
    <w:rsid w:val="00135572"/>
    <w:rsid w:val="001362DA"/>
    <w:rsid w:val="0013747A"/>
    <w:rsid w:val="00143C3F"/>
    <w:rsid w:val="00146DB7"/>
    <w:rsid w:val="001478B5"/>
    <w:rsid w:val="001501BC"/>
    <w:rsid w:val="001565F4"/>
    <w:rsid w:val="00156650"/>
    <w:rsid w:val="00157ADD"/>
    <w:rsid w:val="00161D4F"/>
    <w:rsid w:val="001621E0"/>
    <w:rsid w:val="00162BB9"/>
    <w:rsid w:val="001648FD"/>
    <w:rsid w:val="00164EEA"/>
    <w:rsid w:val="0017134C"/>
    <w:rsid w:val="00171467"/>
    <w:rsid w:val="001733DA"/>
    <w:rsid w:val="001804C1"/>
    <w:rsid w:val="001838EF"/>
    <w:rsid w:val="00183CF8"/>
    <w:rsid w:val="00185367"/>
    <w:rsid w:val="0018552E"/>
    <w:rsid w:val="0018580B"/>
    <w:rsid w:val="00186D5F"/>
    <w:rsid w:val="001905C2"/>
    <w:rsid w:val="0019081F"/>
    <w:rsid w:val="001913AE"/>
    <w:rsid w:val="00193D78"/>
    <w:rsid w:val="00197A42"/>
    <w:rsid w:val="00197A68"/>
    <w:rsid w:val="001A186F"/>
    <w:rsid w:val="001A2348"/>
    <w:rsid w:val="001A418B"/>
    <w:rsid w:val="001B107D"/>
    <w:rsid w:val="001B2012"/>
    <w:rsid w:val="001B67FE"/>
    <w:rsid w:val="001C0DDF"/>
    <w:rsid w:val="001C14FA"/>
    <w:rsid w:val="001C7B11"/>
    <w:rsid w:val="001D2B6F"/>
    <w:rsid w:val="001D2E88"/>
    <w:rsid w:val="001D37B4"/>
    <w:rsid w:val="001E49BC"/>
    <w:rsid w:val="001E4DDB"/>
    <w:rsid w:val="001E5CF2"/>
    <w:rsid w:val="001E67AA"/>
    <w:rsid w:val="001F239F"/>
    <w:rsid w:val="00201E82"/>
    <w:rsid w:val="002033E4"/>
    <w:rsid w:val="002042F3"/>
    <w:rsid w:val="00213B6D"/>
    <w:rsid w:val="002162EF"/>
    <w:rsid w:val="0021781C"/>
    <w:rsid w:val="0022164E"/>
    <w:rsid w:val="00222B64"/>
    <w:rsid w:val="00227D06"/>
    <w:rsid w:val="00233273"/>
    <w:rsid w:val="00233C62"/>
    <w:rsid w:val="00237273"/>
    <w:rsid w:val="00240AF6"/>
    <w:rsid w:val="00241935"/>
    <w:rsid w:val="0024389F"/>
    <w:rsid w:val="002505CA"/>
    <w:rsid w:val="00253362"/>
    <w:rsid w:val="002550F7"/>
    <w:rsid w:val="002679AC"/>
    <w:rsid w:val="00267C6A"/>
    <w:rsid w:val="00275702"/>
    <w:rsid w:val="002759BB"/>
    <w:rsid w:val="00276437"/>
    <w:rsid w:val="00277DFF"/>
    <w:rsid w:val="002951E9"/>
    <w:rsid w:val="002A7A96"/>
    <w:rsid w:val="002B4A4A"/>
    <w:rsid w:val="002B61F2"/>
    <w:rsid w:val="002B75B7"/>
    <w:rsid w:val="002C10F9"/>
    <w:rsid w:val="002C1464"/>
    <w:rsid w:val="002C1E8F"/>
    <w:rsid w:val="002C4251"/>
    <w:rsid w:val="002C58EE"/>
    <w:rsid w:val="002C7BEF"/>
    <w:rsid w:val="002D646D"/>
    <w:rsid w:val="002E0466"/>
    <w:rsid w:val="002E0925"/>
    <w:rsid w:val="002E0C07"/>
    <w:rsid w:val="002E1524"/>
    <w:rsid w:val="002E2600"/>
    <w:rsid w:val="002E737D"/>
    <w:rsid w:val="002F0CC4"/>
    <w:rsid w:val="002F13ED"/>
    <w:rsid w:val="002F3189"/>
    <w:rsid w:val="002F7A3E"/>
    <w:rsid w:val="00304EEA"/>
    <w:rsid w:val="0030791D"/>
    <w:rsid w:val="0031480C"/>
    <w:rsid w:val="00314C49"/>
    <w:rsid w:val="003200CC"/>
    <w:rsid w:val="0032799D"/>
    <w:rsid w:val="00334D95"/>
    <w:rsid w:val="00337A4C"/>
    <w:rsid w:val="00344523"/>
    <w:rsid w:val="00345E73"/>
    <w:rsid w:val="00352E09"/>
    <w:rsid w:val="0035371D"/>
    <w:rsid w:val="00353B5D"/>
    <w:rsid w:val="00356487"/>
    <w:rsid w:val="003649D1"/>
    <w:rsid w:val="00371553"/>
    <w:rsid w:val="003728FD"/>
    <w:rsid w:val="0037310D"/>
    <w:rsid w:val="0037531D"/>
    <w:rsid w:val="0038731B"/>
    <w:rsid w:val="00390312"/>
    <w:rsid w:val="00397C6B"/>
    <w:rsid w:val="003A0E6D"/>
    <w:rsid w:val="003A186C"/>
    <w:rsid w:val="003A394C"/>
    <w:rsid w:val="003A6344"/>
    <w:rsid w:val="003B6A04"/>
    <w:rsid w:val="003C21D6"/>
    <w:rsid w:val="003C50A9"/>
    <w:rsid w:val="003C525B"/>
    <w:rsid w:val="003D1359"/>
    <w:rsid w:val="003D173F"/>
    <w:rsid w:val="003D447B"/>
    <w:rsid w:val="003D7196"/>
    <w:rsid w:val="003E498E"/>
    <w:rsid w:val="003F1572"/>
    <w:rsid w:val="003F31B9"/>
    <w:rsid w:val="003F4404"/>
    <w:rsid w:val="003F5C54"/>
    <w:rsid w:val="00403050"/>
    <w:rsid w:val="00403409"/>
    <w:rsid w:val="004041AD"/>
    <w:rsid w:val="004048E0"/>
    <w:rsid w:val="00410940"/>
    <w:rsid w:val="00411F72"/>
    <w:rsid w:val="00412556"/>
    <w:rsid w:val="00416F95"/>
    <w:rsid w:val="0042144F"/>
    <w:rsid w:val="004246DD"/>
    <w:rsid w:val="00425B98"/>
    <w:rsid w:val="00427002"/>
    <w:rsid w:val="004302AE"/>
    <w:rsid w:val="004309F9"/>
    <w:rsid w:val="00431710"/>
    <w:rsid w:val="00432D1B"/>
    <w:rsid w:val="004402C6"/>
    <w:rsid w:val="00440BE9"/>
    <w:rsid w:val="00440DFD"/>
    <w:rsid w:val="00443C65"/>
    <w:rsid w:val="00444A15"/>
    <w:rsid w:val="0044652C"/>
    <w:rsid w:val="00450B82"/>
    <w:rsid w:val="00451ABE"/>
    <w:rsid w:val="004626EA"/>
    <w:rsid w:val="00462B4E"/>
    <w:rsid w:val="00467012"/>
    <w:rsid w:val="0047668B"/>
    <w:rsid w:val="00476D0D"/>
    <w:rsid w:val="00476F9D"/>
    <w:rsid w:val="004851DB"/>
    <w:rsid w:val="004A0C54"/>
    <w:rsid w:val="004A6967"/>
    <w:rsid w:val="004B15DF"/>
    <w:rsid w:val="004B7D57"/>
    <w:rsid w:val="004C3A58"/>
    <w:rsid w:val="004D00EC"/>
    <w:rsid w:val="004D17D9"/>
    <w:rsid w:val="004D2836"/>
    <w:rsid w:val="004D7953"/>
    <w:rsid w:val="004E4D51"/>
    <w:rsid w:val="004E74C6"/>
    <w:rsid w:val="004F16C4"/>
    <w:rsid w:val="004F1864"/>
    <w:rsid w:val="004F4B51"/>
    <w:rsid w:val="004F6502"/>
    <w:rsid w:val="004F66A5"/>
    <w:rsid w:val="0050022D"/>
    <w:rsid w:val="005029AF"/>
    <w:rsid w:val="00505338"/>
    <w:rsid w:val="00506F24"/>
    <w:rsid w:val="00511EEB"/>
    <w:rsid w:val="00512294"/>
    <w:rsid w:val="005131DA"/>
    <w:rsid w:val="005134D4"/>
    <w:rsid w:val="00514D36"/>
    <w:rsid w:val="0051651F"/>
    <w:rsid w:val="00516EE6"/>
    <w:rsid w:val="00517507"/>
    <w:rsid w:val="00521FF0"/>
    <w:rsid w:val="00526EEC"/>
    <w:rsid w:val="00531B6B"/>
    <w:rsid w:val="005329D3"/>
    <w:rsid w:val="00535A48"/>
    <w:rsid w:val="00544191"/>
    <w:rsid w:val="00544A2A"/>
    <w:rsid w:val="00551F4C"/>
    <w:rsid w:val="00554395"/>
    <w:rsid w:val="005561AC"/>
    <w:rsid w:val="005610F4"/>
    <w:rsid w:val="0056121D"/>
    <w:rsid w:val="00562369"/>
    <w:rsid w:val="00562F29"/>
    <w:rsid w:val="005714D6"/>
    <w:rsid w:val="00572918"/>
    <w:rsid w:val="0058252C"/>
    <w:rsid w:val="00583437"/>
    <w:rsid w:val="00583CAF"/>
    <w:rsid w:val="0058528D"/>
    <w:rsid w:val="005870FB"/>
    <w:rsid w:val="005A1687"/>
    <w:rsid w:val="005A5B98"/>
    <w:rsid w:val="005B0DF8"/>
    <w:rsid w:val="005B2818"/>
    <w:rsid w:val="005B4A67"/>
    <w:rsid w:val="005B54E6"/>
    <w:rsid w:val="005C4E60"/>
    <w:rsid w:val="005C4E92"/>
    <w:rsid w:val="005C5C61"/>
    <w:rsid w:val="005C757A"/>
    <w:rsid w:val="005D4734"/>
    <w:rsid w:val="005D64B9"/>
    <w:rsid w:val="005E5A65"/>
    <w:rsid w:val="005E7F36"/>
    <w:rsid w:val="005F2A61"/>
    <w:rsid w:val="005F4D24"/>
    <w:rsid w:val="005F594E"/>
    <w:rsid w:val="005F5ABE"/>
    <w:rsid w:val="0060605F"/>
    <w:rsid w:val="0060724A"/>
    <w:rsid w:val="006074AE"/>
    <w:rsid w:val="0061134B"/>
    <w:rsid w:val="00614760"/>
    <w:rsid w:val="00617EC5"/>
    <w:rsid w:val="006200A0"/>
    <w:rsid w:val="00621558"/>
    <w:rsid w:val="0063555C"/>
    <w:rsid w:val="00640D38"/>
    <w:rsid w:val="00645195"/>
    <w:rsid w:val="006465E6"/>
    <w:rsid w:val="006469F0"/>
    <w:rsid w:val="00646E02"/>
    <w:rsid w:val="006510D7"/>
    <w:rsid w:val="00653457"/>
    <w:rsid w:val="00656EF6"/>
    <w:rsid w:val="006619F1"/>
    <w:rsid w:val="00670865"/>
    <w:rsid w:val="00673A49"/>
    <w:rsid w:val="00680EAF"/>
    <w:rsid w:val="00681631"/>
    <w:rsid w:val="0068280E"/>
    <w:rsid w:val="00683C37"/>
    <w:rsid w:val="00685805"/>
    <w:rsid w:val="00690076"/>
    <w:rsid w:val="00691B97"/>
    <w:rsid w:val="00692679"/>
    <w:rsid w:val="0069356D"/>
    <w:rsid w:val="006A63D3"/>
    <w:rsid w:val="006B1421"/>
    <w:rsid w:val="006B1930"/>
    <w:rsid w:val="006B2845"/>
    <w:rsid w:val="006B7DE1"/>
    <w:rsid w:val="006B7DFA"/>
    <w:rsid w:val="006C0902"/>
    <w:rsid w:val="006C1B79"/>
    <w:rsid w:val="006C23A6"/>
    <w:rsid w:val="006C3E6E"/>
    <w:rsid w:val="006C4767"/>
    <w:rsid w:val="006C5388"/>
    <w:rsid w:val="006D2229"/>
    <w:rsid w:val="006D28E0"/>
    <w:rsid w:val="006D754D"/>
    <w:rsid w:val="006E31A5"/>
    <w:rsid w:val="006E4065"/>
    <w:rsid w:val="006E6CBE"/>
    <w:rsid w:val="006F0642"/>
    <w:rsid w:val="006F1ED1"/>
    <w:rsid w:val="006F240F"/>
    <w:rsid w:val="006F352E"/>
    <w:rsid w:val="006F42FE"/>
    <w:rsid w:val="006F5BCD"/>
    <w:rsid w:val="00703818"/>
    <w:rsid w:val="007039B0"/>
    <w:rsid w:val="00705349"/>
    <w:rsid w:val="007071BD"/>
    <w:rsid w:val="00707AE1"/>
    <w:rsid w:val="0071175A"/>
    <w:rsid w:val="007120C8"/>
    <w:rsid w:val="00721B13"/>
    <w:rsid w:val="00722E6D"/>
    <w:rsid w:val="007274B9"/>
    <w:rsid w:val="00732639"/>
    <w:rsid w:val="007347E3"/>
    <w:rsid w:val="0073592E"/>
    <w:rsid w:val="00735AE1"/>
    <w:rsid w:val="0073639C"/>
    <w:rsid w:val="00736AA0"/>
    <w:rsid w:val="007414A5"/>
    <w:rsid w:val="00741702"/>
    <w:rsid w:val="00744981"/>
    <w:rsid w:val="00745382"/>
    <w:rsid w:val="0074759F"/>
    <w:rsid w:val="0074763E"/>
    <w:rsid w:val="007501B6"/>
    <w:rsid w:val="00752C40"/>
    <w:rsid w:val="00754C68"/>
    <w:rsid w:val="00756079"/>
    <w:rsid w:val="00756B66"/>
    <w:rsid w:val="00760802"/>
    <w:rsid w:val="00760FFA"/>
    <w:rsid w:val="00762AD1"/>
    <w:rsid w:val="00765619"/>
    <w:rsid w:val="0077524B"/>
    <w:rsid w:val="00777B54"/>
    <w:rsid w:val="00782E53"/>
    <w:rsid w:val="00783AB7"/>
    <w:rsid w:val="0078484F"/>
    <w:rsid w:val="0079223B"/>
    <w:rsid w:val="007952D4"/>
    <w:rsid w:val="007967A1"/>
    <w:rsid w:val="007A1A9A"/>
    <w:rsid w:val="007A2758"/>
    <w:rsid w:val="007B0EE1"/>
    <w:rsid w:val="007B1EF3"/>
    <w:rsid w:val="007B2AE3"/>
    <w:rsid w:val="007B4A81"/>
    <w:rsid w:val="007B7234"/>
    <w:rsid w:val="007C096A"/>
    <w:rsid w:val="007C1C9F"/>
    <w:rsid w:val="007C59B6"/>
    <w:rsid w:val="007C749A"/>
    <w:rsid w:val="007D2BB9"/>
    <w:rsid w:val="007D4A1F"/>
    <w:rsid w:val="007D5779"/>
    <w:rsid w:val="007E3AED"/>
    <w:rsid w:val="007E4DB5"/>
    <w:rsid w:val="00804BB9"/>
    <w:rsid w:val="00810A75"/>
    <w:rsid w:val="008139F6"/>
    <w:rsid w:val="008140B8"/>
    <w:rsid w:val="00816D5B"/>
    <w:rsid w:val="00817E0E"/>
    <w:rsid w:val="008231D4"/>
    <w:rsid w:val="008232A8"/>
    <w:rsid w:val="008260C9"/>
    <w:rsid w:val="00826744"/>
    <w:rsid w:val="008268FB"/>
    <w:rsid w:val="008270F4"/>
    <w:rsid w:val="00833D10"/>
    <w:rsid w:val="00834BDA"/>
    <w:rsid w:val="0083678D"/>
    <w:rsid w:val="00841234"/>
    <w:rsid w:val="00841333"/>
    <w:rsid w:val="008421C6"/>
    <w:rsid w:val="0084410A"/>
    <w:rsid w:val="00846B79"/>
    <w:rsid w:val="00851250"/>
    <w:rsid w:val="0085722A"/>
    <w:rsid w:val="0085750F"/>
    <w:rsid w:val="00860CA4"/>
    <w:rsid w:val="008619A0"/>
    <w:rsid w:val="00864F6A"/>
    <w:rsid w:val="00864FDE"/>
    <w:rsid w:val="0086587A"/>
    <w:rsid w:val="008701A4"/>
    <w:rsid w:val="008705B6"/>
    <w:rsid w:val="00874A1E"/>
    <w:rsid w:val="00875245"/>
    <w:rsid w:val="00875B68"/>
    <w:rsid w:val="00882339"/>
    <w:rsid w:val="008840A4"/>
    <w:rsid w:val="008842E8"/>
    <w:rsid w:val="00884492"/>
    <w:rsid w:val="008856E7"/>
    <w:rsid w:val="008866BD"/>
    <w:rsid w:val="00886A9C"/>
    <w:rsid w:val="00896A31"/>
    <w:rsid w:val="008A0584"/>
    <w:rsid w:val="008A1F21"/>
    <w:rsid w:val="008B0393"/>
    <w:rsid w:val="008B5E9D"/>
    <w:rsid w:val="008C06E0"/>
    <w:rsid w:val="008C5B0B"/>
    <w:rsid w:val="008C5E5E"/>
    <w:rsid w:val="008C68D7"/>
    <w:rsid w:val="008D5C9E"/>
    <w:rsid w:val="008D5F8D"/>
    <w:rsid w:val="008E16D2"/>
    <w:rsid w:val="008E1971"/>
    <w:rsid w:val="008E5F12"/>
    <w:rsid w:val="008E66C2"/>
    <w:rsid w:val="008F018D"/>
    <w:rsid w:val="008F2782"/>
    <w:rsid w:val="008F2CE5"/>
    <w:rsid w:val="008F50C1"/>
    <w:rsid w:val="008F6682"/>
    <w:rsid w:val="009003CA"/>
    <w:rsid w:val="009008ED"/>
    <w:rsid w:val="00900E26"/>
    <w:rsid w:val="00901B8F"/>
    <w:rsid w:val="00906A71"/>
    <w:rsid w:val="0090770C"/>
    <w:rsid w:val="00910C94"/>
    <w:rsid w:val="009120E9"/>
    <w:rsid w:val="00915406"/>
    <w:rsid w:val="00915946"/>
    <w:rsid w:val="009169CE"/>
    <w:rsid w:val="00916A99"/>
    <w:rsid w:val="00917FE5"/>
    <w:rsid w:val="00923928"/>
    <w:rsid w:val="0092480E"/>
    <w:rsid w:val="00925568"/>
    <w:rsid w:val="0092760E"/>
    <w:rsid w:val="00932A2C"/>
    <w:rsid w:val="0094396C"/>
    <w:rsid w:val="00946735"/>
    <w:rsid w:val="00947B19"/>
    <w:rsid w:val="00951D8D"/>
    <w:rsid w:val="00956150"/>
    <w:rsid w:val="00962E55"/>
    <w:rsid w:val="00963775"/>
    <w:rsid w:val="00964BA2"/>
    <w:rsid w:val="009716CF"/>
    <w:rsid w:val="00974D4D"/>
    <w:rsid w:val="00975379"/>
    <w:rsid w:val="00975C2A"/>
    <w:rsid w:val="00976147"/>
    <w:rsid w:val="00976C80"/>
    <w:rsid w:val="0097771C"/>
    <w:rsid w:val="00981CE9"/>
    <w:rsid w:val="00987B34"/>
    <w:rsid w:val="009900CF"/>
    <w:rsid w:val="00991897"/>
    <w:rsid w:val="00991CE0"/>
    <w:rsid w:val="00993463"/>
    <w:rsid w:val="00994640"/>
    <w:rsid w:val="009B19BF"/>
    <w:rsid w:val="009B1C86"/>
    <w:rsid w:val="009B4651"/>
    <w:rsid w:val="009B5375"/>
    <w:rsid w:val="009C6968"/>
    <w:rsid w:val="009D3851"/>
    <w:rsid w:val="009D3B94"/>
    <w:rsid w:val="009D5E8A"/>
    <w:rsid w:val="009D62BD"/>
    <w:rsid w:val="009E0945"/>
    <w:rsid w:val="009E0B9D"/>
    <w:rsid w:val="009E2BE3"/>
    <w:rsid w:val="009E6A2F"/>
    <w:rsid w:val="00A04754"/>
    <w:rsid w:val="00A057B1"/>
    <w:rsid w:val="00A0588F"/>
    <w:rsid w:val="00A10553"/>
    <w:rsid w:val="00A12EA1"/>
    <w:rsid w:val="00A160E9"/>
    <w:rsid w:val="00A20629"/>
    <w:rsid w:val="00A242A8"/>
    <w:rsid w:val="00A25307"/>
    <w:rsid w:val="00A256E8"/>
    <w:rsid w:val="00A27DFB"/>
    <w:rsid w:val="00A3322A"/>
    <w:rsid w:val="00A335CE"/>
    <w:rsid w:val="00A3455A"/>
    <w:rsid w:val="00A3712C"/>
    <w:rsid w:val="00A41296"/>
    <w:rsid w:val="00A415E2"/>
    <w:rsid w:val="00A45921"/>
    <w:rsid w:val="00A46ED2"/>
    <w:rsid w:val="00A47285"/>
    <w:rsid w:val="00A50FBE"/>
    <w:rsid w:val="00A52648"/>
    <w:rsid w:val="00A56368"/>
    <w:rsid w:val="00A567B4"/>
    <w:rsid w:val="00A64C6C"/>
    <w:rsid w:val="00A656E7"/>
    <w:rsid w:val="00A66E41"/>
    <w:rsid w:val="00A71779"/>
    <w:rsid w:val="00A731B6"/>
    <w:rsid w:val="00A76910"/>
    <w:rsid w:val="00A77245"/>
    <w:rsid w:val="00A779A8"/>
    <w:rsid w:val="00A82B30"/>
    <w:rsid w:val="00A90B09"/>
    <w:rsid w:val="00A96831"/>
    <w:rsid w:val="00AA36E4"/>
    <w:rsid w:val="00AB585B"/>
    <w:rsid w:val="00AB693D"/>
    <w:rsid w:val="00AC15D2"/>
    <w:rsid w:val="00AC1A22"/>
    <w:rsid w:val="00AC22A9"/>
    <w:rsid w:val="00AC7FDA"/>
    <w:rsid w:val="00AD2408"/>
    <w:rsid w:val="00AD3453"/>
    <w:rsid w:val="00AD484B"/>
    <w:rsid w:val="00AD50A5"/>
    <w:rsid w:val="00AD52D5"/>
    <w:rsid w:val="00AD6B02"/>
    <w:rsid w:val="00AF29FE"/>
    <w:rsid w:val="00AF4707"/>
    <w:rsid w:val="00AF7FD6"/>
    <w:rsid w:val="00B012CC"/>
    <w:rsid w:val="00B03187"/>
    <w:rsid w:val="00B073CF"/>
    <w:rsid w:val="00B110C8"/>
    <w:rsid w:val="00B1568F"/>
    <w:rsid w:val="00B15EF3"/>
    <w:rsid w:val="00B22ABB"/>
    <w:rsid w:val="00B253CD"/>
    <w:rsid w:val="00B31E8B"/>
    <w:rsid w:val="00B34B51"/>
    <w:rsid w:val="00B43A8B"/>
    <w:rsid w:val="00B43E83"/>
    <w:rsid w:val="00B52E1F"/>
    <w:rsid w:val="00B575C5"/>
    <w:rsid w:val="00B576C5"/>
    <w:rsid w:val="00B66202"/>
    <w:rsid w:val="00B6654E"/>
    <w:rsid w:val="00B7390B"/>
    <w:rsid w:val="00B75D71"/>
    <w:rsid w:val="00B841BF"/>
    <w:rsid w:val="00B84CA0"/>
    <w:rsid w:val="00B8543F"/>
    <w:rsid w:val="00B85F77"/>
    <w:rsid w:val="00B9296F"/>
    <w:rsid w:val="00B9398B"/>
    <w:rsid w:val="00B94DC9"/>
    <w:rsid w:val="00B96C95"/>
    <w:rsid w:val="00BA03B7"/>
    <w:rsid w:val="00BA2964"/>
    <w:rsid w:val="00BA3C0B"/>
    <w:rsid w:val="00BA4165"/>
    <w:rsid w:val="00BB0FED"/>
    <w:rsid w:val="00BB791B"/>
    <w:rsid w:val="00BC0C96"/>
    <w:rsid w:val="00BC5BDB"/>
    <w:rsid w:val="00BD517E"/>
    <w:rsid w:val="00BE18D2"/>
    <w:rsid w:val="00BE3020"/>
    <w:rsid w:val="00BE3CF1"/>
    <w:rsid w:val="00BE436F"/>
    <w:rsid w:val="00BE624A"/>
    <w:rsid w:val="00BF10F0"/>
    <w:rsid w:val="00BF3578"/>
    <w:rsid w:val="00BF3DC8"/>
    <w:rsid w:val="00BF4BD5"/>
    <w:rsid w:val="00C02DD6"/>
    <w:rsid w:val="00C13ACE"/>
    <w:rsid w:val="00C203A0"/>
    <w:rsid w:val="00C23BEB"/>
    <w:rsid w:val="00C2437B"/>
    <w:rsid w:val="00C265D2"/>
    <w:rsid w:val="00C31C81"/>
    <w:rsid w:val="00C35772"/>
    <w:rsid w:val="00C524F9"/>
    <w:rsid w:val="00C603C8"/>
    <w:rsid w:val="00C66940"/>
    <w:rsid w:val="00C67096"/>
    <w:rsid w:val="00C733AF"/>
    <w:rsid w:val="00C7510B"/>
    <w:rsid w:val="00C75C15"/>
    <w:rsid w:val="00C76A02"/>
    <w:rsid w:val="00C76AF6"/>
    <w:rsid w:val="00C830FB"/>
    <w:rsid w:val="00C83CCF"/>
    <w:rsid w:val="00C84843"/>
    <w:rsid w:val="00C907C3"/>
    <w:rsid w:val="00C947EA"/>
    <w:rsid w:val="00C975FF"/>
    <w:rsid w:val="00CA04EC"/>
    <w:rsid w:val="00CA3145"/>
    <w:rsid w:val="00CA65CE"/>
    <w:rsid w:val="00CB0353"/>
    <w:rsid w:val="00CB0E9D"/>
    <w:rsid w:val="00CB191C"/>
    <w:rsid w:val="00CB37B2"/>
    <w:rsid w:val="00CB7DDF"/>
    <w:rsid w:val="00CC2DE3"/>
    <w:rsid w:val="00CC3884"/>
    <w:rsid w:val="00CD559A"/>
    <w:rsid w:val="00CD5968"/>
    <w:rsid w:val="00CD6F52"/>
    <w:rsid w:val="00CD7904"/>
    <w:rsid w:val="00CE17A2"/>
    <w:rsid w:val="00CE1931"/>
    <w:rsid w:val="00CE248C"/>
    <w:rsid w:val="00CE2ABD"/>
    <w:rsid w:val="00CE5036"/>
    <w:rsid w:val="00CE5A21"/>
    <w:rsid w:val="00CE5E43"/>
    <w:rsid w:val="00CE7A06"/>
    <w:rsid w:val="00CF0252"/>
    <w:rsid w:val="00CF27BC"/>
    <w:rsid w:val="00CF66BD"/>
    <w:rsid w:val="00D02937"/>
    <w:rsid w:val="00D02FD0"/>
    <w:rsid w:val="00D04025"/>
    <w:rsid w:val="00D06404"/>
    <w:rsid w:val="00D064F1"/>
    <w:rsid w:val="00D06C73"/>
    <w:rsid w:val="00D1440E"/>
    <w:rsid w:val="00D242B6"/>
    <w:rsid w:val="00D26B51"/>
    <w:rsid w:val="00D26C26"/>
    <w:rsid w:val="00D27B24"/>
    <w:rsid w:val="00D31F10"/>
    <w:rsid w:val="00D31F36"/>
    <w:rsid w:val="00D32EA5"/>
    <w:rsid w:val="00D34B1B"/>
    <w:rsid w:val="00D36566"/>
    <w:rsid w:val="00D37327"/>
    <w:rsid w:val="00D42C73"/>
    <w:rsid w:val="00D431D1"/>
    <w:rsid w:val="00D513B6"/>
    <w:rsid w:val="00D526C1"/>
    <w:rsid w:val="00D52709"/>
    <w:rsid w:val="00D53820"/>
    <w:rsid w:val="00D606CE"/>
    <w:rsid w:val="00D64F83"/>
    <w:rsid w:val="00D65D3F"/>
    <w:rsid w:val="00D66B86"/>
    <w:rsid w:val="00D7163A"/>
    <w:rsid w:val="00D71848"/>
    <w:rsid w:val="00D72600"/>
    <w:rsid w:val="00D72BE3"/>
    <w:rsid w:val="00D75DD7"/>
    <w:rsid w:val="00D83661"/>
    <w:rsid w:val="00D83C96"/>
    <w:rsid w:val="00D90B34"/>
    <w:rsid w:val="00D9276E"/>
    <w:rsid w:val="00D93C13"/>
    <w:rsid w:val="00D93F09"/>
    <w:rsid w:val="00D94CDF"/>
    <w:rsid w:val="00DA0271"/>
    <w:rsid w:val="00DA189E"/>
    <w:rsid w:val="00DA1AD1"/>
    <w:rsid w:val="00DA1FE6"/>
    <w:rsid w:val="00DA339B"/>
    <w:rsid w:val="00DA3F93"/>
    <w:rsid w:val="00DA4C07"/>
    <w:rsid w:val="00DA5110"/>
    <w:rsid w:val="00DB079A"/>
    <w:rsid w:val="00DB4B56"/>
    <w:rsid w:val="00DB650B"/>
    <w:rsid w:val="00DB6586"/>
    <w:rsid w:val="00DC21B2"/>
    <w:rsid w:val="00DC47D9"/>
    <w:rsid w:val="00DC57D9"/>
    <w:rsid w:val="00DD0E35"/>
    <w:rsid w:val="00DD7083"/>
    <w:rsid w:val="00DE4F3F"/>
    <w:rsid w:val="00DF7A11"/>
    <w:rsid w:val="00E0075F"/>
    <w:rsid w:val="00E027B5"/>
    <w:rsid w:val="00E04050"/>
    <w:rsid w:val="00E05ED7"/>
    <w:rsid w:val="00E104D2"/>
    <w:rsid w:val="00E11FF2"/>
    <w:rsid w:val="00E21764"/>
    <w:rsid w:val="00E2370C"/>
    <w:rsid w:val="00E24759"/>
    <w:rsid w:val="00E278AC"/>
    <w:rsid w:val="00E36C0D"/>
    <w:rsid w:val="00E40EFD"/>
    <w:rsid w:val="00E44A01"/>
    <w:rsid w:val="00E51D6E"/>
    <w:rsid w:val="00E57EAB"/>
    <w:rsid w:val="00E63099"/>
    <w:rsid w:val="00E631B9"/>
    <w:rsid w:val="00E653C9"/>
    <w:rsid w:val="00E67EF3"/>
    <w:rsid w:val="00E73332"/>
    <w:rsid w:val="00E742A8"/>
    <w:rsid w:val="00E75601"/>
    <w:rsid w:val="00E80AD7"/>
    <w:rsid w:val="00E81B22"/>
    <w:rsid w:val="00E8622C"/>
    <w:rsid w:val="00E86E9C"/>
    <w:rsid w:val="00E9242B"/>
    <w:rsid w:val="00E973F7"/>
    <w:rsid w:val="00E974C7"/>
    <w:rsid w:val="00EA11E1"/>
    <w:rsid w:val="00EA5DF5"/>
    <w:rsid w:val="00EB2AED"/>
    <w:rsid w:val="00EB3B95"/>
    <w:rsid w:val="00EB4CAC"/>
    <w:rsid w:val="00EC697E"/>
    <w:rsid w:val="00EC70E6"/>
    <w:rsid w:val="00ED0CE8"/>
    <w:rsid w:val="00ED1782"/>
    <w:rsid w:val="00ED4699"/>
    <w:rsid w:val="00ED5223"/>
    <w:rsid w:val="00ED64D7"/>
    <w:rsid w:val="00ED6763"/>
    <w:rsid w:val="00ED6DA6"/>
    <w:rsid w:val="00ED7BA8"/>
    <w:rsid w:val="00EE0312"/>
    <w:rsid w:val="00EE397F"/>
    <w:rsid w:val="00EE62CF"/>
    <w:rsid w:val="00EF49A9"/>
    <w:rsid w:val="00EF4BC6"/>
    <w:rsid w:val="00EF61F0"/>
    <w:rsid w:val="00EF6254"/>
    <w:rsid w:val="00EF6413"/>
    <w:rsid w:val="00F0206B"/>
    <w:rsid w:val="00F03565"/>
    <w:rsid w:val="00F05417"/>
    <w:rsid w:val="00F11E6D"/>
    <w:rsid w:val="00F23201"/>
    <w:rsid w:val="00F24C2A"/>
    <w:rsid w:val="00F27895"/>
    <w:rsid w:val="00F3069E"/>
    <w:rsid w:val="00F34A44"/>
    <w:rsid w:val="00F34E80"/>
    <w:rsid w:val="00F36D9A"/>
    <w:rsid w:val="00F41723"/>
    <w:rsid w:val="00F42C38"/>
    <w:rsid w:val="00F47C21"/>
    <w:rsid w:val="00F47F90"/>
    <w:rsid w:val="00F5141B"/>
    <w:rsid w:val="00F57037"/>
    <w:rsid w:val="00F578C3"/>
    <w:rsid w:val="00F612D0"/>
    <w:rsid w:val="00F61B8E"/>
    <w:rsid w:val="00F631B5"/>
    <w:rsid w:val="00F64CC7"/>
    <w:rsid w:val="00F66CD6"/>
    <w:rsid w:val="00F8037D"/>
    <w:rsid w:val="00F80830"/>
    <w:rsid w:val="00F84C1B"/>
    <w:rsid w:val="00F87729"/>
    <w:rsid w:val="00F91029"/>
    <w:rsid w:val="00F91A72"/>
    <w:rsid w:val="00F95DD4"/>
    <w:rsid w:val="00FA0575"/>
    <w:rsid w:val="00FA2001"/>
    <w:rsid w:val="00FB2283"/>
    <w:rsid w:val="00FC58AD"/>
    <w:rsid w:val="00FD4978"/>
    <w:rsid w:val="00FD692F"/>
    <w:rsid w:val="00FD7868"/>
    <w:rsid w:val="00FD78B1"/>
    <w:rsid w:val="00FE163B"/>
    <w:rsid w:val="00FE43EC"/>
    <w:rsid w:val="00FE454A"/>
    <w:rsid w:val="00FE6337"/>
    <w:rsid w:val="00FE6C3E"/>
    <w:rsid w:val="00FE7814"/>
    <w:rsid w:val="00FF136B"/>
    <w:rsid w:val="00FF1F2B"/>
    <w:rsid w:val="00FF2C14"/>
    <w:rsid w:val="00FF3996"/>
    <w:rsid w:val="00FF4793"/>
    <w:rsid w:val="00FF6BF3"/>
    <w:rsid w:val="00FF7099"/>
    <w:rsid w:val="00FF7EF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CDC76879-488C-4D69-B767-872C28A4E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4767"/>
    <w:pPr>
      <w:jc w:val="both"/>
    </w:pPr>
    <w:rPr>
      <w:rFonts w:ascii="Garamond" w:hAnsi="Garamond"/>
      <w:sz w:val="24"/>
      <w:lang w:val="en-GB" w:eastAsia="fr-FR"/>
    </w:rPr>
  </w:style>
  <w:style w:type="paragraph" w:styleId="Titre1">
    <w:name w:val="heading 1"/>
    <w:basedOn w:val="Normal"/>
    <w:next w:val="Normal"/>
    <w:link w:val="Titre1Car"/>
    <w:qFormat/>
    <w:rsid w:val="006C4767"/>
    <w:pPr>
      <w:pBdr>
        <w:bottom w:val="single" w:sz="12" w:space="1" w:color="auto"/>
      </w:pBdr>
      <w:spacing w:after="600"/>
      <w:jc w:val="left"/>
      <w:outlineLvl w:val="0"/>
    </w:pPr>
    <w:rPr>
      <w:rFonts w:ascii="Arial" w:hAnsi="Arial"/>
      <w:b/>
      <w:sz w:val="44"/>
      <w:lang w:val="fr-FR"/>
    </w:rPr>
  </w:style>
  <w:style w:type="paragraph" w:styleId="Titre2">
    <w:name w:val="heading 2"/>
    <w:next w:val="Normal"/>
    <w:link w:val="Titre2Car"/>
    <w:qFormat/>
    <w:rsid w:val="006C4767"/>
    <w:pPr>
      <w:spacing w:before="360" w:after="240"/>
      <w:outlineLvl w:val="1"/>
    </w:pPr>
    <w:rPr>
      <w:rFonts w:ascii="Arial Black" w:hAnsi="Arial Black"/>
      <w:b/>
      <w:sz w:val="24"/>
      <w:lang w:val="en-GB" w:eastAsia="fr-FR"/>
    </w:rPr>
  </w:style>
  <w:style w:type="paragraph" w:styleId="Titre3">
    <w:name w:val="heading 3"/>
    <w:next w:val="Normal"/>
    <w:link w:val="Titre3Car"/>
    <w:qFormat/>
    <w:rsid w:val="006C4767"/>
    <w:pPr>
      <w:spacing w:before="360" w:after="240"/>
      <w:outlineLvl w:val="2"/>
    </w:pPr>
    <w:rPr>
      <w:rFonts w:ascii="Arial" w:hAnsi="Arial"/>
      <w:b/>
      <w:noProof/>
      <w:sz w:val="24"/>
      <w:lang w:val="fr-FR" w:eastAsia="fr-FR"/>
    </w:rPr>
  </w:style>
  <w:style w:type="paragraph" w:styleId="Titre4">
    <w:name w:val="heading 4"/>
    <w:next w:val="Normal"/>
    <w:link w:val="Titre4Car"/>
    <w:qFormat/>
    <w:rsid w:val="006C4767"/>
    <w:pPr>
      <w:keepNext/>
      <w:tabs>
        <w:tab w:val="left" w:pos="1026"/>
      </w:tabs>
      <w:spacing w:before="360" w:after="240"/>
      <w:ind w:left="1026" w:hanging="1026"/>
      <w:outlineLvl w:val="3"/>
    </w:pPr>
    <w:rPr>
      <w:rFonts w:ascii="Arial" w:hAnsi="Arial"/>
      <w:i/>
      <w:sz w:val="24"/>
      <w:lang w:val="fr-FR" w:eastAsia="fr-FR"/>
    </w:rPr>
  </w:style>
  <w:style w:type="paragraph" w:styleId="Titre5">
    <w:name w:val="heading 5"/>
    <w:basedOn w:val="Normal"/>
    <w:next w:val="Normal"/>
    <w:link w:val="Titre5Car"/>
    <w:autoRedefine/>
    <w:qFormat/>
    <w:rsid w:val="006C4767"/>
    <w:pPr>
      <w:spacing w:before="360" w:after="240"/>
      <w:outlineLvl w:val="4"/>
    </w:pPr>
    <w:rPr>
      <w:b/>
      <w:u w:val="single"/>
    </w:rPr>
  </w:style>
  <w:style w:type="paragraph" w:styleId="Titre6">
    <w:name w:val="heading 6"/>
    <w:basedOn w:val="Normal"/>
    <w:next w:val="Normal"/>
    <w:link w:val="Titre6Car"/>
    <w:qFormat/>
    <w:rsid w:val="006C4767"/>
    <w:pPr>
      <w:outlineLvl w:val="5"/>
    </w:pPr>
    <w:rPr>
      <w:b/>
      <w:i/>
    </w:rPr>
  </w:style>
  <w:style w:type="paragraph" w:styleId="Titre7">
    <w:name w:val="heading 7"/>
    <w:basedOn w:val="Normal"/>
    <w:next w:val="Normal"/>
    <w:link w:val="Titre7Car"/>
    <w:qFormat/>
    <w:rsid w:val="006C4767"/>
    <w:pPr>
      <w:outlineLvl w:val="6"/>
    </w:pPr>
    <w:rPr>
      <w:u w:val="single"/>
    </w:rPr>
  </w:style>
  <w:style w:type="paragraph" w:styleId="Titre8">
    <w:name w:val="heading 8"/>
    <w:basedOn w:val="Normal"/>
    <w:next w:val="Normal"/>
    <w:link w:val="Titre8Car"/>
    <w:qFormat/>
    <w:rsid w:val="006C4767"/>
    <w:pPr>
      <w:outlineLvl w:val="7"/>
    </w:pPr>
    <w:rPr>
      <w:i/>
    </w:rPr>
  </w:style>
  <w:style w:type="paragraph" w:styleId="Titre9">
    <w:name w:val="heading 9"/>
    <w:basedOn w:val="Normal"/>
    <w:next w:val="Normal"/>
    <w:link w:val="Titre9Car"/>
    <w:qFormat/>
    <w:rsid w:val="006C4767"/>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432D1B"/>
    <w:pPr>
      <w:ind w:left="720"/>
      <w:jc w:val="left"/>
    </w:pPr>
    <w:rPr>
      <w:rFonts w:ascii="Calibri" w:hAnsi="Calibri"/>
      <w:szCs w:val="24"/>
      <w:lang w:eastAsia="en-US"/>
    </w:rPr>
  </w:style>
  <w:style w:type="paragraph" w:customStyle="1" w:styleId="H-Heading2">
    <w:name w:val="H-Heading 2"/>
    <w:basedOn w:val="Normal"/>
    <w:rsid w:val="00993463"/>
    <w:pPr>
      <w:keepNext/>
      <w:tabs>
        <w:tab w:val="left" w:pos="360"/>
      </w:tabs>
      <w:suppressAutoHyphens/>
      <w:autoSpaceDN w:val="0"/>
      <w:spacing w:before="240" w:after="240" w:line="280" w:lineRule="atLeast"/>
      <w:ind w:left="720" w:hanging="360"/>
      <w:jc w:val="left"/>
      <w:textAlignment w:val="baseline"/>
      <w:outlineLvl w:val="0"/>
    </w:pPr>
    <w:rPr>
      <w:rFonts w:ascii="Helvetica" w:hAnsi="Helvetica"/>
      <w:b/>
      <w:bCs/>
      <w:caps/>
      <w:color w:val="6F6F6F"/>
      <w:kern w:val="3"/>
      <w:sz w:val="20"/>
      <w:szCs w:val="24"/>
      <w:lang w:eastAsia="de-DE"/>
    </w:rPr>
  </w:style>
  <w:style w:type="character" w:customStyle="1" w:styleId="Titre2Car">
    <w:name w:val="Titre 2 Car"/>
    <w:link w:val="Titre2"/>
    <w:rsid w:val="00432D1B"/>
    <w:rPr>
      <w:rFonts w:ascii="Arial Black" w:hAnsi="Arial Black"/>
      <w:b/>
      <w:sz w:val="24"/>
      <w:lang w:val="en-GB" w:eastAsia="fr-FR"/>
    </w:rPr>
  </w:style>
  <w:style w:type="table" w:styleId="Grilledutableau">
    <w:name w:val="Table Grid"/>
    <w:basedOn w:val="TableauNormal"/>
    <w:uiPriority w:val="39"/>
    <w:rsid w:val="00243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rsid w:val="00432D1B"/>
    <w:rPr>
      <w:rFonts w:ascii="Arial" w:hAnsi="Arial"/>
      <w:b/>
      <w:sz w:val="44"/>
      <w:lang w:val="fr-FR" w:eastAsia="fr-FR"/>
    </w:rPr>
  </w:style>
  <w:style w:type="character" w:customStyle="1" w:styleId="Titre3Car">
    <w:name w:val="Titre 3 Car"/>
    <w:link w:val="Titre3"/>
    <w:rsid w:val="00432D1B"/>
    <w:rPr>
      <w:rFonts w:ascii="Arial" w:hAnsi="Arial"/>
      <w:b/>
      <w:noProof/>
      <w:sz w:val="24"/>
      <w:lang w:val="fr-FR" w:eastAsia="fr-FR"/>
    </w:rPr>
  </w:style>
  <w:style w:type="character" w:customStyle="1" w:styleId="Titre4Car">
    <w:name w:val="Titre 4 Car"/>
    <w:link w:val="Titre4"/>
    <w:rsid w:val="00432D1B"/>
    <w:rPr>
      <w:rFonts w:ascii="Arial" w:hAnsi="Arial"/>
      <w:i/>
      <w:sz w:val="24"/>
      <w:lang w:val="fr-FR" w:eastAsia="fr-FR"/>
    </w:rPr>
  </w:style>
  <w:style w:type="numbering" w:customStyle="1" w:styleId="Aucuneliste1">
    <w:name w:val="Aucune liste1"/>
    <w:next w:val="Aucuneliste"/>
    <w:uiPriority w:val="99"/>
    <w:semiHidden/>
    <w:unhideWhenUsed/>
    <w:rsid w:val="0024389F"/>
  </w:style>
  <w:style w:type="character" w:styleId="Marquedecommentaire">
    <w:name w:val="annotation reference"/>
    <w:basedOn w:val="Policepardfaut"/>
    <w:uiPriority w:val="99"/>
    <w:semiHidden/>
    <w:unhideWhenUsed/>
    <w:rsid w:val="0024389F"/>
    <w:rPr>
      <w:sz w:val="16"/>
      <w:szCs w:val="16"/>
    </w:rPr>
  </w:style>
  <w:style w:type="paragraph" w:styleId="Commentaire">
    <w:name w:val="annotation text"/>
    <w:basedOn w:val="Normal"/>
    <w:link w:val="CommentaireCar"/>
    <w:uiPriority w:val="99"/>
    <w:semiHidden/>
    <w:unhideWhenUsed/>
    <w:rsid w:val="0024389F"/>
    <w:pPr>
      <w:spacing w:after="160"/>
    </w:pPr>
    <w:rPr>
      <w:rFonts w:eastAsiaTheme="minorHAnsi" w:cstheme="minorBidi"/>
      <w:sz w:val="20"/>
    </w:rPr>
  </w:style>
  <w:style w:type="character" w:customStyle="1" w:styleId="CommentaireCar">
    <w:name w:val="Commentaire Car"/>
    <w:basedOn w:val="Policepardfaut"/>
    <w:link w:val="Commentaire"/>
    <w:uiPriority w:val="99"/>
    <w:semiHidden/>
    <w:rsid w:val="0024389F"/>
    <w:rPr>
      <w:sz w:val="20"/>
      <w:szCs w:val="20"/>
      <w:lang w:val="fr-BE"/>
    </w:rPr>
  </w:style>
  <w:style w:type="paragraph" w:styleId="Objetducommentaire">
    <w:name w:val="annotation subject"/>
    <w:basedOn w:val="Commentaire"/>
    <w:next w:val="Commentaire"/>
    <w:link w:val="ObjetducommentaireCar"/>
    <w:uiPriority w:val="99"/>
    <w:semiHidden/>
    <w:unhideWhenUsed/>
    <w:rsid w:val="0024389F"/>
    <w:rPr>
      <w:b/>
      <w:bCs/>
    </w:rPr>
  </w:style>
  <w:style w:type="character" w:customStyle="1" w:styleId="ObjetducommentaireCar">
    <w:name w:val="Objet du commentaire Car"/>
    <w:basedOn w:val="CommentaireCar"/>
    <w:link w:val="Objetducommentaire"/>
    <w:uiPriority w:val="99"/>
    <w:semiHidden/>
    <w:rsid w:val="0024389F"/>
    <w:rPr>
      <w:b/>
      <w:bCs/>
      <w:sz w:val="20"/>
      <w:szCs w:val="20"/>
      <w:lang w:val="fr-BE"/>
    </w:rPr>
  </w:style>
  <w:style w:type="paragraph" w:styleId="Textedebulles">
    <w:name w:val="Balloon Text"/>
    <w:basedOn w:val="Normal"/>
    <w:link w:val="TextedebullesCar"/>
    <w:uiPriority w:val="99"/>
    <w:semiHidden/>
    <w:unhideWhenUsed/>
    <w:rsid w:val="0024389F"/>
    <w:rPr>
      <w:rFonts w:ascii="Segoe UI" w:eastAsiaTheme="minorHAnsi" w:hAnsi="Segoe UI" w:cs="Segoe UI"/>
      <w:sz w:val="18"/>
      <w:szCs w:val="18"/>
    </w:rPr>
  </w:style>
  <w:style w:type="character" w:customStyle="1" w:styleId="TextedebullesCar">
    <w:name w:val="Texte de bulles Car"/>
    <w:basedOn w:val="Policepardfaut"/>
    <w:link w:val="Textedebulles"/>
    <w:uiPriority w:val="99"/>
    <w:semiHidden/>
    <w:rsid w:val="0024389F"/>
    <w:rPr>
      <w:rFonts w:ascii="Segoe UI" w:hAnsi="Segoe UI" w:cs="Segoe UI"/>
      <w:sz w:val="18"/>
      <w:szCs w:val="18"/>
      <w:lang w:val="fr-BE"/>
    </w:rPr>
  </w:style>
  <w:style w:type="table" w:customStyle="1" w:styleId="Grilledutableau1">
    <w:name w:val="Grille du tableau1"/>
    <w:basedOn w:val="TableauNormal"/>
    <w:next w:val="Grilledutableau"/>
    <w:uiPriority w:val="39"/>
    <w:rsid w:val="0024389F"/>
    <w:rPr>
      <w:rFonts w:ascii="New York" w:hAnsi="New York"/>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4389F"/>
    <w:pPr>
      <w:autoSpaceDE w:val="0"/>
      <w:autoSpaceDN w:val="0"/>
      <w:adjustRightInd w:val="0"/>
    </w:pPr>
    <w:rPr>
      <w:color w:val="000000"/>
      <w:sz w:val="24"/>
      <w:szCs w:val="24"/>
      <w:lang w:val="fr-BE"/>
    </w:rPr>
  </w:style>
  <w:style w:type="paragraph" w:styleId="Notedebasdepage">
    <w:name w:val="footnote text"/>
    <w:basedOn w:val="Normal"/>
    <w:link w:val="NotedebasdepageCar"/>
    <w:rsid w:val="006C4767"/>
    <w:pPr>
      <w:tabs>
        <w:tab w:val="left" w:pos="992"/>
      </w:tabs>
      <w:spacing w:after="120"/>
      <w:ind w:left="284" w:hanging="284"/>
    </w:pPr>
    <w:rPr>
      <w:sz w:val="18"/>
      <w:lang w:val="fr-FR"/>
    </w:rPr>
  </w:style>
  <w:style w:type="character" w:customStyle="1" w:styleId="NotedebasdepageCar">
    <w:name w:val="Note de bas de page Car"/>
    <w:basedOn w:val="Policepardfaut"/>
    <w:link w:val="Notedebasdepage"/>
    <w:rsid w:val="0024389F"/>
    <w:rPr>
      <w:rFonts w:ascii="Garamond" w:hAnsi="Garamond"/>
      <w:sz w:val="18"/>
      <w:lang w:val="fr-FR" w:eastAsia="fr-FR"/>
    </w:rPr>
  </w:style>
  <w:style w:type="character" w:styleId="Appelnotedebasdep">
    <w:name w:val="footnote reference"/>
    <w:aliases w:val="Footnote symbol,Footnote reference number,Times 10 Point,Exposant 3 Point,EN Footnote Reference,note TESI,-E Fußnotenzeichen,SUPERS"/>
    <w:basedOn w:val="Policepardfaut"/>
    <w:rsid w:val="006C4767"/>
    <w:rPr>
      <w:vertAlign w:val="superscript"/>
    </w:rPr>
  </w:style>
  <w:style w:type="character" w:customStyle="1" w:styleId="familyname">
    <w:name w:val="familyname"/>
    <w:basedOn w:val="Policepardfaut"/>
    <w:rsid w:val="0024389F"/>
  </w:style>
  <w:style w:type="character" w:styleId="Lienhypertexte">
    <w:name w:val="Hyperlink"/>
    <w:basedOn w:val="Policepardfaut"/>
    <w:uiPriority w:val="99"/>
    <w:unhideWhenUsed/>
    <w:rsid w:val="0024389F"/>
    <w:rPr>
      <w:color w:val="0563C1" w:themeColor="hyperlink"/>
      <w:u w:val="single"/>
    </w:rPr>
  </w:style>
  <w:style w:type="paragraph" w:styleId="Sansinterligne">
    <w:name w:val="No Spacing"/>
    <w:uiPriority w:val="1"/>
    <w:qFormat/>
    <w:rsid w:val="00432D1B"/>
    <w:pPr>
      <w:jc w:val="both"/>
    </w:pPr>
    <w:rPr>
      <w:rFonts w:ascii="Garamond" w:hAnsi="Garamond"/>
      <w:sz w:val="24"/>
      <w:lang w:val="en-GB" w:eastAsia="fr-FR"/>
    </w:rPr>
  </w:style>
  <w:style w:type="paragraph" w:styleId="Rvision">
    <w:name w:val="Revision"/>
    <w:hidden/>
    <w:uiPriority w:val="99"/>
    <w:semiHidden/>
    <w:rsid w:val="0024389F"/>
    <w:rPr>
      <w:lang w:val="fr-BE"/>
    </w:rPr>
  </w:style>
  <w:style w:type="table" w:customStyle="1" w:styleId="Grilledutableau11">
    <w:name w:val="Grille du tableau11"/>
    <w:basedOn w:val="TableauNormal"/>
    <w:next w:val="Grilledutableau"/>
    <w:uiPriority w:val="39"/>
    <w:rsid w:val="0024389F"/>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24389F"/>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432D1B"/>
    <w:pPr>
      <w:keepNext/>
      <w:keepLines/>
      <w:pBdr>
        <w:bottom w:val="none" w:sz="0" w:space="0" w:color="auto"/>
      </w:pBdr>
      <w:spacing w:before="240" w:after="0" w:line="259" w:lineRule="auto"/>
      <w:outlineLvl w:val="9"/>
    </w:pPr>
    <w:rPr>
      <w:rFonts w:ascii="Calibri Light" w:hAnsi="Calibri Light"/>
      <w:b w:val="0"/>
      <w:color w:val="2E74B5"/>
      <w:sz w:val="32"/>
      <w:szCs w:val="32"/>
      <w:lang w:val="en-US" w:eastAsia="en-US"/>
    </w:rPr>
  </w:style>
  <w:style w:type="paragraph" w:styleId="TM1">
    <w:name w:val="toc 1"/>
    <w:basedOn w:val="Normal"/>
    <w:next w:val="Normal"/>
    <w:autoRedefine/>
    <w:uiPriority w:val="39"/>
    <w:rsid w:val="006C4767"/>
    <w:pPr>
      <w:widowControl w:val="0"/>
      <w:tabs>
        <w:tab w:val="right" w:leader="dot" w:pos="9072"/>
      </w:tabs>
      <w:autoSpaceDE w:val="0"/>
      <w:autoSpaceDN w:val="0"/>
      <w:adjustRightInd w:val="0"/>
      <w:spacing w:before="160" w:after="100"/>
      <w:jc w:val="left"/>
    </w:pPr>
    <w:rPr>
      <w:b/>
      <w:smallCaps/>
      <w:noProof/>
    </w:rPr>
  </w:style>
  <w:style w:type="paragraph" w:styleId="TM2">
    <w:name w:val="toc 2"/>
    <w:basedOn w:val="Normal"/>
    <w:next w:val="Normal"/>
    <w:autoRedefine/>
    <w:uiPriority w:val="39"/>
    <w:rsid w:val="006C4767"/>
    <w:pPr>
      <w:widowControl w:val="0"/>
      <w:tabs>
        <w:tab w:val="right" w:leader="dot" w:pos="9072"/>
      </w:tabs>
      <w:autoSpaceDE w:val="0"/>
      <w:autoSpaceDN w:val="0"/>
      <w:adjustRightInd w:val="0"/>
      <w:ind w:left="284"/>
      <w:jc w:val="left"/>
    </w:pPr>
    <w:rPr>
      <w:smallCaps/>
      <w:noProof/>
    </w:rPr>
  </w:style>
  <w:style w:type="paragraph" w:styleId="En-tte">
    <w:name w:val="header"/>
    <w:basedOn w:val="Normal"/>
    <w:link w:val="En-tteCar"/>
    <w:rsid w:val="006C4767"/>
    <w:pPr>
      <w:tabs>
        <w:tab w:val="center" w:pos="4536"/>
        <w:tab w:val="right" w:pos="9072"/>
      </w:tabs>
    </w:pPr>
    <w:rPr>
      <w:lang w:val="fr-FR"/>
    </w:rPr>
  </w:style>
  <w:style w:type="character" w:customStyle="1" w:styleId="En-tteCar">
    <w:name w:val="En-tête Car"/>
    <w:basedOn w:val="Policepardfaut"/>
    <w:link w:val="En-tte"/>
    <w:rsid w:val="0024389F"/>
    <w:rPr>
      <w:rFonts w:ascii="Garamond" w:hAnsi="Garamond"/>
      <w:sz w:val="24"/>
      <w:lang w:val="fr-FR" w:eastAsia="fr-FR"/>
    </w:rPr>
  </w:style>
  <w:style w:type="paragraph" w:styleId="Pieddepage">
    <w:name w:val="footer"/>
    <w:basedOn w:val="Normal"/>
    <w:link w:val="PieddepageCar"/>
    <w:rsid w:val="006C4767"/>
    <w:pPr>
      <w:tabs>
        <w:tab w:val="center" w:pos="4536"/>
        <w:tab w:val="right" w:pos="9072"/>
      </w:tabs>
    </w:pPr>
  </w:style>
  <w:style w:type="character" w:customStyle="1" w:styleId="PieddepageCar">
    <w:name w:val="Pied de page Car"/>
    <w:basedOn w:val="Policepardfaut"/>
    <w:link w:val="Pieddepage"/>
    <w:rsid w:val="0024389F"/>
    <w:rPr>
      <w:rFonts w:ascii="Garamond" w:hAnsi="Garamond"/>
      <w:sz w:val="24"/>
      <w:lang w:val="en-GB" w:eastAsia="fr-FR"/>
    </w:rPr>
  </w:style>
  <w:style w:type="character" w:styleId="Lienhypertextesuivivisit">
    <w:name w:val="FollowedHyperlink"/>
    <w:basedOn w:val="Policepardfaut"/>
    <w:uiPriority w:val="99"/>
    <w:semiHidden/>
    <w:unhideWhenUsed/>
    <w:rsid w:val="0024389F"/>
    <w:rPr>
      <w:color w:val="954F72" w:themeColor="followedHyperlink"/>
      <w:u w:val="single"/>
    </w:rPr>
  </w:style>
  <w:style w:type="paragraph" w:styleId="TM3">
    <w:name w:val="toc 3"/>
    <w:basedOn w:val="Normal"/>
    <w:next w:val="Normal"/>
    <w:autoRedefine/>
    <w:uiPriority w:val="39"/>
    <w:rsid w:val="006C4767"/>
    <w:pPr>
      <w:widowControl w:val="0"/>
      <w:tabs>
        <w:tab w:val="right" w:leader="dot" w:pos="9072"/>
      </w:tabs>
      <w:autoSpaceDE w:val="0"/>
      <w:autoSpaceDN w:val="0"/>
      <w:adjustRightInd w:val="0"/>
      <w:ind w:left="567"/>
      <w:jc w:val="left"/>
    </w:pPr>
    <w:rPr>
      <w:lang w:val="fr-FR"/>
    </w:rPr>
  </w:style>
  <w:style w:type="table" w:customStyle="1" w:styleId="Grilledutableau3">
    <w:name w:val="Grille du tableau3"/>
    <w:basedOn w:val="TableauNormal"/>
    <w:next w:val="Grilledutableau"/>
    <w:uiPriority w:val="39"/>
    <w:rsid w:val="005C4E92"/>
    <w:rPr>
      <w:rFonts w:ascii="New York" w:hAnsi="New York"/>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rsid w:val="00B75D71"/>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90770C"/>
    <w:rPr>
      <w:rFonts w:ascii="New York" w:hAnsi="New York"/>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562F29"/>
    <w:rPr>
      <w:rFonts w:ascii="New York" w:hAnsi="New York"/>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3A394C"/>
    <w:rPr>
      <w:rFonts w:ascii="New York" w:hAnsi="New York"/>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991897"/>
    <w:rPr>
      <w:rFonts w:ascii="New York" w:hAnsi="New York"/>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783AB7"/>
    <w:rPr>
      <w:rFonts w:ascii="New York" w:hAnsi="New York"/>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39"/>
    <w:rsid w:val="00A04754"/>
    <w:rPr>
      <w:rFonts w:ascii="New York" w:hAnsi="New York"/>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146DB7"/>
  </w:style>
  <w:style w:type="table" w:customStyle="1" w:styleId="Grilledutableau10">
    <w:name w:val="Grille du tableau10"/>
    <w:basedOn w:val="TableauNormal"/>
    <w:next w:val="Grilledutableau"/>
    <w:uiPriority w:val="39"/>
    <w:rsid w:val="00146DB7"/>
    <w:rPr>
      <w:rFonts w:ascii="New York" w:hAnsi="New York"/>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39"/>
    <w:rsid w:val="00146DB7"/>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39"/>
    <w:rsid w:val="00526EEC"/>
    <w:rPr>
      <w:rFonts w:ascii="New York" w:hAnsi="New York"/>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432D1B"/>
    <w:pPr>
      <w:widowControl w:val="0"/>
      <w:wordWrap w:val="0"/>
      <w:autoSpaceDE w:val="0"/>
      <w:autoSpaceDN w:val="0"/>
      <w:spacing w:after="200"/>
    </w:pPr>
    <w:rPr>
      <w:rFonts w:ascii="Batang" w:eastAsia="Batang" w:hAnsi="Times New Roman" w:cstheme="minorBidi"/>
      <w:b/>
      <w:bCs/>
      <w:color w:val="4F81BD"/>
      <w:kern w:val="2"/>
      <w:sz w:val="18"/>
      <w:szCs w:val="18"/>
      <w:lang w:val="en-US" w:eastAsia="ko-KR"/>
    </w:rPr>
  </w:style>
  <w:style w:type="table" w:customStyle="1" w:styleId="Grilledutableau15">
    <w:name w:val="Grille du tableau15"/>
    <w:basedOn w:val="TableauNormal"/>
    <w:next w:val="Grilledutableau"/>
    <w:uiPriority w:val="39"/>
    <w:rsid w:val="00C7510B"/>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link w:val="bulletsChar"/>
    <w:autoRedefine/>
    <w:qFormat/>
    <w:rsid w:val="0050022D"/>
    <w:pPr>
      <w:numPr>
        <w:numId w:val="3"/>
      </w:numPr>
      <w:spacing w:before="60" w:after="60"/>
      <w:ind w:left="357" w:hanging="357"/>
    </w:pPr>
    <w:rPr>
      <w:rFonts w:eastAsia="Batang" w:cs="Arial"/>
      <w:noProof/>
      <w:szCs w:val="24"/>
      <w:lang w:eastAsia="en-GB"/>
    </w:rPr>
  </w:style>
  <w:style w:type="character" w:customStyle="1" w:styleId="bulletsChar">
    <w:name w:val="bullets Char"/>
    <w:link w:val="bullets"/>
    <w:locked/>
    <w:rsid w:val="0050022D"/>
    <w:rPr>
      <w:rFonts w:ascii="Garamond" w:eastAsia="Batang" w:hAnsi="Garamond" w:cs="Arial"/>
      <w:noProof/>
      <w:sz w:val="24"/>
      <w:szCs w:val="24"/>
      <w:lang w:val="en-GB" w:eastAsia="en-GB"/>
    </w:rPr>
  </w:style>
  <w:style w:type="paragraph" w:customStyle="1" w:styleId="ChartTitle">
    <w:name w:val="ChartTitle"/>
    <w:basedOn w:val="Normal"/>
    <w:link w:val="ChartTitleChar"/>
    <w:qFormat/>
    <w:rsid w:val="00432D1B"/>
    <w:pPr>
      <w:spacing w:before="240" w:after="120"/>
      <w:jc w:val="center"/>
    </w:pPr>
    <w:rPr>
      <w:rFonts w:ascii="Arial" w:hAnsi="Arial"/>
      <w:b/>
      <w:noProof/>
      <w:sz w:val="22"/>
    </w:rPr>
  </w:style>
  <w:style w:type="character" w:customStyle="1" w:styleId="ChartTitleChar">
    <w:name w:val="ChartTitle Char"/>
    <w:basedOn w:val="Policepardfaut"/>
    <w:link w:val="ChartTitle"/>
    <w:rsid w:val="00432D1B"/>
    <w:rPr>
      <w:rFonts w:ascii="Arial" w:hAnsi="Arial"/>
      <w:b/>
      <w:noProof/>
      <w:sz w:val="22"/>
      <w:lang w:val="en-GB" w:eastAsia="fr-FR"/>
    </w:rPr>
  </w:style>
  <w:style w:type="paragraph" w:customStyle="1" w:styleId="FigureTitle">
    <w:name w:val="FigureTitle"/>
    <w:basedOn w:val="Normal"/>
    <w:link w:val="FigureTitleChar"/>
    <w:qFormat/>
    <w:rsid w:val="00432D1B"/>
    <w:pPr>
      <w:spacing w:before="240" w:after="120"/>
      <w:jc w:val="center"/>
    </w:pPr>
    <w:rPr>
      <w:rFonts w:ascii="Arial" w:hAnsi="Arial"/>
      <w:b/>
      <w:noProof/>
      <w:lang w:val="fr-CA"/>
    </w:rPr>
  </w:style>
  <w:style w:type="character" w:customStyle="1" w:styleId="FigureTitleChar">
    <w:name w:val="FigureTitle Char"/>
    <w:basedOn w:val="Policepardfaut"/>
    <w:link w:val="FigureTitle"/>
    <w:rsid w:val="00432D1B"/>
    <w:rPr>
      <w:rFonts w:ascii="Arial" w:hAnsi="Arial"/>
      <w:b/>
      <w:noProof/>
      <w:sz w:val="24"/>
      <w:lang w:val="fr-CA" w:eastAsia="fr-FR"/>
    </w:rPr>
  </w:style>
  <w:style w:type="character" w:customStyle="1" w:styleId="Titre5Car">
    <w:name w:val="Titre 5 Car"/>
    <w:link w:val="Titre5"/>
    <w:rsid w:val="00432D1B"/>
    <w:rPr>
      <w:rFonts w:ascii="Garamond" w:hAnsi="Garamond"/>
      <w:b/>
      <w:sz w:val="24"/>
      <w:u w:val="single"/>
      <w:lang w:val="en-GB" w:eastAsia="fr-FR"/>
    </w:rPr>
  </w:style>
  <w:style w:type="character" w:customStyle="1" w:styleId="Titre6Car">
    <w:name w:val="Titre 6 Car"/>
    <w:link w:val="Titre6"/>
    <w:rsid w:val="00432D1B"/>
    <w:rPr>
      <w:rFonts w:ascii="Garamond" w:hAnsi="Garamond"/>
      <w:b/>
      <w:i/>
      <w:sz w:val="24"/>
      <w:lang w:val="en-GB" w:eastAsia="fr-FR"/>
    </w:rPr>
  </w:style>
  <w:style w:type="character" w:customStyle="1" w:styleId="Titre7Car">
    <w:name w:val="Titre 7 Car"/>
    <w:link w:val="Titre7"/>
    <w:rsid w:val="00432D1B"/>
    <w:rPr>
      <w:rFonts w:ascii="Garamond" w:hAnsi="Garamond"/>
      <w:sz w:val="24"/>
      <w:u w:val="single"/>
      <w:lang w:val="en-GB" w:eastAsia="fr-FR"/>
    </w:rPr>
  </w:style>
  <w:style w:type="character" w:customStyle="1" w:styleId="Titre8Car">
    <w:name w:val="Titre 8 Car"/>
    <w:link w:val="Titre8"/>
    <w:rsid w:val="00432D1B"/>
    <w:rPr>
      <w:rFonts w:ascii="Garamond" w:hAnsi="Garamond"/>
      <w:i/>
      <w:sz w:val="24"/>
      <w:lang w:val="en-GB" w:eastAsia="fr-FR"/>
    </w:rPr>
  </w:style>
  <w:style w:type="character" w:customStyle="1" w:styleId="Titre9Car">
    <w:name w:val="Titre 9 Car"/>
    <w:link w:val="Titre9"/>
    <w:rsid w:val="00432D1B"/>
    <w:rPr>
      <w:rFonts w:ascii="Garamond" w:hAnsi="Garamond"/>
      <w:sz w:val="24"/>
      <w:lang w:val="en-GB" w:eastAsia="fr-FR"/>
    </w:rPr>
  </w:style>
  <w:style w:type="paragraph" w:styleId="Titre">
    <w:name w:val="Title"/>
    <w:basedOn w:val="Normal"/>
    <w:next w:val="Normal"/>
    <w:link w:val="TitreCar"/>
    <w:qFormat/>
    <w:rsid w:val="00432D1B"/>
    <w:pPr>
      <w:numPr>
        <w:numId w:val="1"/>
      </w:numPr>
      <w:tabs>
        <w:tab w:val="num" w:pos="0"/>
        <w:tab w:val="left" w:pos="737"/>
        <w:tab w:val="left" w:pos="1134"/>
      </w:tabs>
      <w:spacing w:after="60"/>
      <w:ind w:left="1134" w:hanging="567"/>
    </w:pPr>
    <w:rPr>
      <w:spacing w:val="5"/>
      <w:kern w:val="1"/>
      <w:szCs w:val="24"/>
    </w:rPr>
  </w:style>
  <w:style w:type="character" w:customStyle="1" w:styleId="TitreCar">
    <w:name w:val="Titre Car"/>
    <w:link w:val="Titre"/>
    <w:rsid w:val="00432D1B"/>
    <w:rPr>
      <w:rFonts w:ascii="Garamond" w:hAnsi="Garamond"/>
      <w:spacing w:val="5"/>
      <w:kern w:val="1"/>
      <w:sz w:val="24"/>
      <w:szCs w:val="24"/>
      <w:lang w:val="en-GB" w:eastAsia="fr-FR"/>
    </w:rPr>
  </w:style>
  <w:style w:type="paragraph" w:styleId="Sous-titre">
    <w:name w:val="Subtitle"/>
    <w:basedOn w:val="Normal"/>
    <w:next w:val="Normal"/>
    <w:link w:val="Sous-titreCar"/>
    <w:qFormat/>
    <w:rsid w:val="00432D1B"/>
    <w:pPr>
      <w:shd w:val="clear" w:color="auto" w:fill="E5E5E5"/>
      <w:ind w:left="357" w:right="851" w:firstLine="284"/>
    </w:pPr>
    <w:rPr>
      <w:b/>
      <w:bCs/>
      <w:i/>
      <w:iCs/>
      <w:spacing w:val="15"/>
      <w:szCs w:val="24"/>
    </w:rPr>
  </w:style>
  <w:style w:type="character" w:customStyle="1" w:styleId="Sous-titreCar">
    <w:name w:val="Sous-titre Car"/>
    <w:link w:val="Sous-titre"/>
    <w:rsid w:val="00432D1B"/>
    <w:rPr>
      <w:rFonts w:ascii="Garamond" w:hAnsi="Garamond"/>
      <w:b/>
      <w:bCs/>
      <w:i/>
      <w:iCs/>
      <w:spacing w:val="15"/>
      <w:sz w:val="24"/>
      <w:szCs w:val="24"/>
      <w:shd w:val="clear" w:color="auto" w:fill="E5E5E5"/>
      <w:lang w:val="en-GB" w:eastAsia="fr-FR"/>
    </w:rPr>
  </w:style>
  <w:style w:type="character" w:styleId="lev">
    <w:name w:val="Strong"/>
    <w:basedOn w:val="Policepardfaut"/>
    <w:uiPriority w:val="22"/>
    <w:qFormat/>
    <w:rsid w:val="00432D1B"/>
    <w:rPr>
      <w:b/>
      <w:bCs/>
    </w:rPr>
  </w:style>
  <w:style w:type="character" w:styleId="Accentuation">
    <w:name w:val="Emphasis"/>
    <w:uiPriority w:val="20"/>
    <w:qFormat/>
    <w:rsid w:val="00432D1B"/>
    <w:rPr>
      <w:i/>
      <w:iCs/>
    </w:rPr>
  </w:style>
  <w:style w:type="character" w:customStyle="1" w:styleId="ParagraphedelisteCar">
    <w:name w:val="Paragraphe de liste Car"/>
    <w:link w:val="Paragraphedeliste"/>
    <w:uiPriority w:val="34"/>
    <w:rsid w:val="00432D1B"/>
    <w:rPr>
      <w:rFonts w:ascii="Calibri" w:hAnsi="Calibri"/>
      <w:sz w:val="24"/>
      <w:szCs w:val="24"/>
      <w:lang w:val="en-GB"/>
    </w:rPr>
  </w:style>
  <w:style w:type="character" w:styleId="Rfrencelgre">
    <w:name w:val="Subtle Reference"/>
    <w:basedOn w:val="Policepardfaut"/>
    <w:uiPriority w:val="31"/>
    <w:qFormat/>
    <w:rsid w:val="00432D1B"/>
    <w:rPr>
      <w:smallCaps/>
      <w:color w:val="5A5A5A" w:themeColor="text1" w:themeTint="A5"/>
    </w:rPr>
  </w:style>
  <w:style w:type="paragraph" w:customStyle="1" w:styleId="box">
    <w:name w:val="box"/>
    <w:basedOn w:val="Titre2"/>
    <w:rsid w:val="006C4767"/>
    <w:pPr>
      <w:pBdr>
        <w:top w:val="single" w:sz="6" w:space="5" w:color="auto" w:shadow="1"/>
        <w:left w:val="single" w:sz="6" w:space="5" w:color="auto" w:shadow="1"/>
        <w:bottom w:val="single" w:sz="6" w:space="5" w:color="auto" w:shadow="1"/>
        <w:right w:val="single" w:sz="6" w:space="5" w:color="auto" w:shadow="1"/>
      </w:pBdr>
      <w:shd w:val="pct10" w:color="auto" w:fill="FFFFFF"/>
      <w:tabs>
        <w:tab w:val="left" w:pos="567"/>
      </w:tabs>
      <w:spacing w:before="0" w:after="0"/>
      <w:ind w:right="851" w:firstLine="284"/>
      <w:outlineLvl w:val="9"/>
    </w:pPr>
    <w:rPr>
      <w:rFonts w:ascii="Garamond" w:hAnsi="Garamond"/>
      <w:b w:val="0"/>
      <w:sz w:val="20"/>
    </w:rPr>
  </w:style>
  <w:style w:type="paragraph" w:styleId="Corpsdetexte">
    <w:name w:val="Body Text"/>
    <w:basedOn w:val="Normal"/>
    <w:link w:val="CorpsdetexteCar"/>
    <w:rsid w:val="006C4767"/>
    <w:pPr>
      <w:spacing w:after="120"/>
    </w:pPr>
    <w:rPr>
      <w:lang w:val="fr-FR"/>
    </w:rPr>
  </w:style>
  <w:style w:type="character" w:customStyle="1" w:styleId="CorpsdetexteCar">
    <w:name w:val="Corps de texte Car"/>
    <w:basedOn w:val="Policepardfaut"/>
    <w:link w:val="Corpsdetexte"/>
    <w:rsid w:val="006C4767"/>
    <w:rPr>
      <w:rFonts w:ascii="Garamond" w:hAnsi="Garamond"/>
      <w:sz w:val="24"/>
      <w:lang w:val="fr-FR" w:eastAsia="fr-FR"/>
    </w:rPr>
  </w:style>
  <w:style w:type="character" w:styleId="Numrodepage">
    <w:name w:val="page number"/>
    <w:basedOn w:val="Policepardfaut"/>
    <w:rsid w:val="006C4767"/>
  </w:style>
  <w:style w:type="paragraph" w:customStyle="1" w:styleId="source">
    <w:name w:val="source"/>
    <w:basedOn w:val="Normal"/>
    <w:rsid w:val="006C4767"/>
    <w:pPr>
      <w:spacing w:after="120"/>
      <w:ind w:left="709" w:hanging="709"/>
      <w:jc w:val="left"/>
    </w:pPr>
    <w:rPr>
      <w:i/>
      <w:sz w:val="18"/>
      <w:lang w:val="fr-FR"/>
    </w:rPr>
  </w:style>
  <w:style w:type="paragraph" w:customStyle="1" w:styleId="titretab">
    <w:name w:val="titretab"/>
    <w:rsid w:val="006C4767"/>
    <w:pPr>
      <w:spacing w:before="240" w:after="120"/>
      <w:jc w:val="center"/>
    </w:pPr>
    <w:rPr>
      <w:rFonts w:ascii="Arial" w:hAnsi="Arial"/>
      <w:b/>
      <w:noProof/>
      <w:sz w:val="22"/>
      <w:lang w:val="fr-FR" w:eastAsia="fr-FR"/>
    </w:rPr>
  </w:style>
  <w:style w:type="paragraph" w:styleId="TM4">
    <w:name w:val="toc 4"/>
    <w:basedOn w:val="Normal"/>
    <w:next w:val="Normal"/>
    <w:autoRedefine/>
    <w:semiHidden/>
    <w:rsid w:val="006C4767"/>
    <w:pPr>
      <w:tabs>
        <w:tab w:val="right" w:leader="dot" w:pos="9070"/>
      </w:tabs>
      <w:ind w:left="440"/>
      <w:jc w:val="left"/>
    </w:pPr>
    <w:rPr>
      <w:i/>
    </w:rPr>
  </w:style>
  <w:style w:type="paragraph" w:styleId="TM5">
    <w:name w:val="toc 5"/>
    <w:basedOn w:val="Normal"/>
    <w:next w:val="Normal"/>
    <w:autoRedefine/>
    <w:semiHidden/>
    <w:rsid w:val="006C4767"/>
    <w:pPr>
      <w:tabs>
        <w:tab w:val="right" w:leader="dot" w:pos="9070"/>
      </w:tabs>
      <w:ind w:left="660"/>
      <w:jc w:val="left"/>
    </w:pPr>
  </w:style>
  <w:style w:type="paragraph" w:styleId="TM6">
    <w:name w:val="toc 6"/>
    <w:basedOn w:val="Normal"/>
    <w:next w:val="Normal"/>
    <w:autoRedefine/>
    <w:semiHidden/>
    <w:rsid w:val="006C4767"/>
    <w:pPr>
      <w:tabs>
        <w:tab w:val="right" w:leader="dot" w:pos="9070"/>
      </w:tabs>
      <w:ind w:left="880"/>
      <w:jc w:val="left"/>
    </w:pPr>
    <w:rPr>
      <w:i/>
    </w:rPr>
  </w:style>
  <w:style w:type="paragraph" w:styleId="TM7">
    <w:name w:val="toc 7"/>
    <w:basedOn w:val="Normal"/>
    <w:next w:val="Normal"/>
    <w:autoRedefine/>
    <w:semiHidden/>
    <w:rsid w:val="006C4767"/>
    <w:pPr>
      <w:tabs>
        <w:tab w:val="right" w:leader="dot" w:pos="9070"/>
      </w:tabs>
      <w:ind w:left="1100"/>
      <w:jc w:val="left"/>
    </w:pPr>
    <w:rPr>
      <w:i/>
    </w:rPr>
  </w:style>
  <w:style w:type="paragraph" w:styleId="TM8">
    <w:name w:val="toc 8"/>
    <w:basedOn w:val="Normal"/>
    <w:next w:val="Normal"/>
    <w:autoRedefine/>
    <w:semiHidden/>
    <w:rsid w:val="006C4767"/>
    <w:pPr>
      <w:tabs>
        <w:tab w:val="right" w:leader="dot" w:pos="9070"/>
      </w:tabs>
      <w:ind w:left="1320"/>
      <w:jc w:val="left"/>
    </w:pPr>
    <w:rPr>
      <w:i/>
    </w:rPr>
  </w:style>
  <w:style w:type="paragraph" w:styleId="TM9">
    <w:name w:val="toc 9"/>
    <w:basedOn w:val="Normal"/>
    <w:next w:val="Normal"/>
    <w:autoRedefine/>
    <w:semiHidden/>
    <w:rsid w:val="006C4767"/>
    <w:pPr>
      <w:tabs>
        <w:tab w:val="right" w:leader="dot" w:pos="9070"/>
      </w:tabs>
      <w:ind w:left="1540"/>
      <w:jc w:val="left"/>
    </w:pPr>
    <w:rPr>
      <w:i/>
    </w:rPr>
  </w:style>
  <w:style w:type="paragraph" w:customStyle="1" w:styleId="ADE">
    <w:name w:val="ADE"/>
    <w:rsid w:val="006C4767"/>
    <w:pPr>
      <w:tabs>
        <w:tab w:val="right" w:pos="8505"/>
      </w:tabs>
      <w:spacing w:after="80"/>
    </w:pPr>
    <w:rPr>
      <w:rFonts w:ascii="Garamond" w:hAnsi="Garamond"/>
      <w:noProof/>
      <w:sz w:val="22"/>
      <w:lang w:val="fr-FR" w:eastAsia="fr-FR"/>
    </w:rPr>
  </w:style>
  <w:style w:type="paragraph" w:customStyle="1" w:styleId="zonedetexte">
    <w:name w:val="zone de texte"/>
    <w:basedOn w:val="Titre3"/>
    <w:rsid w:val="006C4767"/>
    <w:pPr>
      <w:tabs>
        <w:tab w:val="left" w:pos="567"/>
      </w:tabs>
      <w:spacing w:before="0" w:after="0"/>
    </w:pPr>
    <w:rPr>
      <w:i/>
    </w:rPr>
  </w:style>
  <w:style w:type="paragraph" w:customStyle="1" w:styleId="warning">
    <w:name w:val="warning"/>
    <w:rsid w:val="006C4767"/>
    <w:pPr>
      <w:spacing w:before="360" w:after="240"/>
      <w:ind w:left="2835" w:firstLine="567"/>
      <w:jc w:val="both"/>
    </w:pPr>
    <w:rPr>
      <w:rFonts w:ascii="Arial" w:hAnsi="Arial"/>
      <w:b/>
      <w:i/>
      <w:shadow/>
      <w:noProof/>
      <w:sz w:val="28"/>
      <w:lang w:val="fr-FR" w:eastAsia="fr-FR"/>
    </w:rPr>
  </w:style>
  <w:style w:type="paragraph" w:customStyle="1" w:styleId="Nomdudocument">
    <w:name w:val="Nom du document"/>
    <w:basedOn w:val="Normal"/>
    <w:rsid w:val="006C4767"/>
    <w:pPr>
      <w:spacing w:after="120"/>
    </w:pPr>
    <w:rPr>
      <w:i/>
      <w:sz w:val="18"/>
      <w:lang w:val="fr-FR"/>
    </w:rPr>
  </w:style>
  <w:style w:type="paragraph" w:customStyle="1" w:styleId="Cover1">
    <w:name w:val="Cover 1"/>
    <w:next w:val="Normal"/>
    <w:rsid w:val="006C4767"/>
    <w:pPr>
      <w:spacing w:before="360" w:after="240"/>
      <w:jc w:val="right"/>
    </w:pPr>
    <w:rPr>
      <w:rFonts w:ascii="Garamond" w:hAnsi="Garamond"/>
      <w:b/>
      <w:i/>
      <w:noProof/>
      <w:sz w:val="28"/>
      <w:lang w:val="fr-FR" w:eastAsia="fr-FR"/>
    </w:rPr>
  </w:style>
  <w:style w:type="paragraph" w:customStyle="1" w:styleId="Cover2">
    <w:name w:val="Cover 2"/>
    <w:next w:val="Normal"/>
    <w:rsid w:val="006C4767"/>
    <w:pPr>
      <w:tabs>
        <w:tab w:val="left" w:pos="567"/>
      </w:tabs>
      <w:jc w:val="center"/>
    </w:pPr>
    <w:rPr>
      <w:rFonts w:ascii="Garamond" w:hAnsi="Garamond"/>
      <w:b/>
      <w:shadow/>
      <w:noProof/>
      <w:spacing w:val="20"/>
      <w:sz w:val="24"/>
      <w:lang w:val="fr-FR" w:eastAsia="fr-FR"/>
    </w:rPr>
  </w:style>
  <w:style w:type="paragraph" w:customStyle="1" w:styleId="Cover3">
    <w:name w:val="Cover 3"/>
    <w:rsid w:val="006C4767"/>
    <w:pPr>
      <w:tabs>
        <w:tab w:val="left" w:pos="567"/>
      </w:tabs>
      <w:spacing w:after="240"/>
      <w:jc w:val="center"/>
    </w:pPr>
    <w:rPr>
      <w:rFonts w:ascii="Garamond" w:hAnsi="Garamond"/>
      <w:b/>
      <w:shadow/>
      <w:noProof/>
      <w:sz w:val="44"/>
      <w:lang w:val="fr-FR" w:eastAsia="fr-FR"/>
    </w:rPr>
  </w:style>
  <w:style w:type="character" w:styleId="Appeldenotedefin">
    <w:name w:val="endnote reference"/>
    <w:basedOn w:val="Policepardfaut"/>
    <w:semiHidden/>
    <w:rsid w:val="006C4767"/>
    <w:rPr>
      <w:vertAlign w:val="superscript"/>
    </w:rPr>
  </w:style>
  <w:style w:type="paragraph" w:customStyle="1" w:styleId="titredurapport">
    <w:name w:val="titre du rapport"/>
    <w:basedOn w:val="Normal"/>
    <w:rsid w:val="006C4767"/>
    <w:rPr>
      <w:i/>
      <w:shadow/>
    </w:rPr>
  </w:style>
  <w:style w:type="paragraph" w:customStyle="1" w:styleId="StyleHeading4Left0cmHanging15cm">
    <w:name w:val="Style Heading 4 + Left:  0 cm Hanging:  15 cm"/>
    <w:basedOn w:val="Titre4"/>
    <w:next w:val="Normal"/>
    <w:autoRedefine/>
    <w:rsid w:val="006C4767"/>
    <w:pPr>
      <w:tabs>
        <w:tab w:val="clear" w:pos="1026"/>
        <w:tab w:val="left" w:pos="851"/>
      </w:tabs>
      <w:ind w:left="851" w:hanging="851"/>
    </w:pPr>
    <w:rPr>
      <w:iCs/>
    </w:rPr>
  </w:style>
  <w:style w:type="paragraph" w:customStyle="1" w:styleId="bulletbox1">
    <w:name w:val="bullet box 1"/>
    <w:basedOn w:val="Listepuces"/>
    <w:rsid w:val="006C4767"/>
    <w:rPr>
      <w:sz w:val="20"/>
    </w:rPr>
  </w:style>
  <w:style w:type="paragraph" w:styleId="Listepuces">
    <w:name w:val="List Bullet"/>
    <w:basedOn w:val="Normal"/>
    <w:rsid w:val="006C4767"/>
    <w:pPr>
      <w:numPr>
        <w:numId w:val="18"/>
      </w:numPr>
    </w:pPr>
    <w:rPr>
      <w:lang w:val="fr-BE"/>
    </w:rPr>
  </w:style>
  <w:style w:type="paragraph" w:styleId="Listepuces2">
    <w:name w:val="List Bullet 2"/>
    <w:basedOn w:val="Normal"/>
    <w:rsid w:val="006C4767"/>
    <w:pPr>
      <w:numPr>
        <w:numId w:val="17"/>
      </w:numPr>
      <w:tabs>
        <w:tab w:val="left" w:pos="737"/>
      </w:tabs>
    </w:pPr>
  </w:style>
  <w:style w:type="paragraph" w:styleId="Listecontinue">
    <w:name w:val="List Continue"/>
    <w:basedOn w:val="Normal"/>
    <w:rsid w:val="006C4767"/>
    <w:pPr>
      <w:spacing w:after="120"/>
      <w:ind w:left="283"/>
    </w:pPr>
  </w:style>
  <w:style w:type="paragraph" w:customStyle="1" w:styleId="bulletbox2">
    <w:name w:val="bullet box 2"/>
    <w:basedOn w:val="Listepuces2"/>
    <w:rsid w:val="006C4767"/>
    <w:rPr>
      <w:sz w:val="20"/>
    </w:rPr>
  </w:style>
  <w:style w:type="paragraph" w:customStyle="1" w:styleId="Annexe">
    <w:name w:val="Annexe"/>
    <w:basedOn w:val="Normal"/>
    <w:rsid w:val="006C4767"/>
    <w:pPr>
      <w:pBdr>
        <w:bottom w:val="single" w:sz="4" w:space="1" w:color="auto"/>
      </w:pBdr>
      <w:jc w:val="right"/>
    </w:pPr>
    <w:rPr>
      <w:b/>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597712">
      <w:bodyDiv w:val="1"/>
      <w:marLeft w:val="0"/>
      <w:marRight w:val="0"/>
      <w:marTop w:val="0"/>
      <w:marBottom w:val="0"/>
      <w:divBdr>
        <w:top w:val="none" w:sz="0" w:space="0" w:color="auto"/>
        <w:left w:val="none" w:sz="0" w:space="0" w:color="auto"/>
        <w:bottom w:val="none" w:sz="0" w:space="0" w:color="auto"/>
        <w:right w:val="none" w:sz="0" w:space="0" w:color="auto"/>
      </w:divBdr>
    </w:div>
    <w:div w:id="402724485">
      <w:bodyDiv w:val="1"/>
      <w:marLeft w:val="0"/>
      <w:marRight w:val="0"/>
      <w:marTop w:val="0"/>
      <w:marBottom w:val="0"/>
      <w:divBdr>
        <w:top w:val="none" w:sz="0" w:space="0" w:color="auto"/>
        <w:left w:val="none" w:sz="0" w:space="0" w:color="auto"/>
        <w:bottom w:val="none" w:sz="0" w:space="0" w:color="auto"/>
        <w:right w:val="none" w:sz="0" w:space="0" w:color="auto"/>
      </w:divBdr>
      <w:divsChild>
        <w:div w:id="423919287">
          <w:marLeft w:val="274"/>
          <w:marRight w:val="0"/>
          <w:marTop w:val="150"/>
          <w:marBottom w:val="0"/>
          <w:divBdr>
            <w:top w:val="none" w:sz="0" w:space="0" w:color="auto"/>
            <w:left w:val="none" w:sz="0" w:space="0" w:color="auto"/>
            <w:bottom w:val="none" w:sz="0" w:space="0" w:color="auto"/>
            <w:right w:val="none" w:sz="0" w:space="0" w:color="auto"/>
          </w:divBdr>
        </w:div>
        <w:div w:id="1383946725">
          <w:marLeft w:val="274"/>
          <w:marRight w:val="0"/>
          <w:marTop w:val="150"/>
          <w:marBottom w:val="0"/>
          <w:divBdr>
            <w:top w:val="none" w:sz="0" w:space="0" w:color="auto"/>
            <w:left w:val="none" w:sz="0" w:space="0" w:color="auto"/>
            <w:bottom w:val="none" w:sz="0" w:space="0" w:color="auto"/>
            <w:right w:val="none" w:sz="0" w:space="0" w:color="auto"/>
          </w:divBdr>
        </w:div>
        <w:div w:id="1446271579">
          <w:marLeft w:val="274"/>
          <w:marRight w:val="0"/>
          <w:marTop w:val="150"/>
          <w:marBottom w:val="0"/>
          <w:divBdr>
            <w:top w:val="none" w:sz="0" w:space="0" w:color="auto"/>
            <w:left w:val="none" w:sz="0" w:space="0" w:color="auto"/>
            <w:bottom w:val="none" w:sz="0" w:space="0" w:color="auto"/>
            <w:right w:val="none" w:sz="0" w:space="0" w:color="auto"/>
          </w:divBdr>
        </w:div>
        <w:div w:id="1567296101">
          <w:marLeft w:val="274"/>
          <w:marRight w:val="0"/>
          <w:marTop w:val="150"/>
          <w:marBottom w:val="0"/>
          <w:divBdr>
            <w:top w:val="none" w:sz="0" w:space="0" w:color="auto"/>
            <w:left w:val="none" w:sz="0" w:space="0" w:color="auto"/>
            <w:bottom w:val="none" w:sz="0" w:space="0" w:color="auto"/>
            <w:right w:val="none" w:sz="0" w:space="0" w:color="auto"/>
          </w:divBdr>
        </w:div>
        <w:div w:id="122891325">
          <w:marLeft w:val="274"/>
          <w:marRight w:val="0"/>
          <w:marTop w:val="150"/>
          <w:marBottom w:val="0"/>
          <w:divBdr>
            <w:top w:val="none" w:sz="0" w:space="0" w:color="auto"/>
            <w:left w:val="none" w:sz="0" w:space="0" w:color="auto"/>
            <w:bottom w:val="none" w:sz="0" w:space="0" w:color="auto"/>
            <w:right w:val="none" w:sz="0" w:space="0" w:color="auto"/>
          </w:divBdr>
        </w:div>
        <w:div w:id="1448743741">
          <w:marLeft w:val="274"/>
          <w:marRight w:val="0"/>
          <w:marTop w:val="150"/>
          <w:marBottom w:val="0"/>
          <w:divBdr>
            <w:top w:val="none" w:sz="0" w:space="0" w:color="auto"/>
            <w:left w:val="none" w:sz="0" w:space="0" w:color="auto"/>
            <w:bottom w:val="none" w:sz="0" w:space="0" w:color="auto"/>
            <w:right w:val="none" w:sz="0" w:space="0" w:color="auto"/>
          </w:divBdr>
        </w:div>
      </w:divsChild>
    </w:div>
    <w:div w:id="459350340">
      <w:bodyDiv w:val="1"/>
      <w:marLeft w:val="0"/>
      <w:marRight w:val="0"/>
      <w:marTop w:val="0"/>
      <w:marBottom w:val="0"/>
      <w:divBdr>
        <w:top w:val="none" w:sz="0" w:space="0" w:color="auto"/>
        <w:left w:val="none" w:sz="0" w:space="0" w:color="auto"/>
        <w:bottom w:val="none" w:sz="0" w:space="0" w:color="auto"/>
        <w:right w:val="none" w:sz="0" w:space="0" w:color="auto"/>
      </w:divBdr>
    </w:div>
    <w:div w:id="1517688682">
      <w:bodyDiv w:val="1"/>
      <w:marLeft w:val="0"/>
      <w:marRight w:val="0"/>
      <w:marTop w:val="0"/>
      <w:marBottom w:val="0"/>
      <w:divBdr>
        <w:top w:val="none" w:sz="0" w:space="0" w:color="auto"/>
        <w:left w:val="none" w:sz="0" w:space="0" w:color="auto"/>
        <w:bottom w:val="none" w:sz="0" w:space="0" w:color="auto"/>
        <w:right w:val="none" w:sz="0" w:space="0" w:color="auto"/>
      </w:divBdr>
    </w:div>
    <w:div w:id="1528249622">
      <w:bodyDiv w:val="1"/>
      <w:marLeft w:val="0"/>
      <w:marRight w:val="0"/>
      <w:marTop w:val="0"/>
      <w:marBottom w:val="0"/>
      <w:divBdr>
        <w:top w:val="none" w:sz="0" w:space="0" w:color="auto"/>
        <w:left w:val="none" w:sz="0" w:space="0" w:color="auto"/>
        <w:bottom w:val="none" w:sz="0" w:space="0" w:color="auto"/>
        <w:right w:val="none" w:sz="0" w:space="0" w:color="auto"/>
      </w:divBdr>
      <w:divsChild>
        <w:div w:id="926504865">
          <w:marLeft w:val="274"/>
          <w:marRight w:val="0"/>
          <w:marTop w:val="150"/>
          <w:marBottom w:val="0"/>
          <w:divBdr>
            <w:top w:val="none" w:sz="0" w:space="0" w:color="auto"/>
            <w:left w:val="none" w:sz="0" w:space="0" w:color="auto"/>
            <w:bottom w:val="none" w:sz="0" w:space="0" w:color="auto"/>
            <w:right w:val="none" w:sz="0" w:space="0" w:color="auto"/>
          </w:divBdr>
        </w:div>
      </w:divsChild>
    </w:div>
    <w:div w:id="1636138517">
      <w:bodyDiv w:val="1"/>
      <w:marLeft w:val="0"/>
      <w:marRight w:val="0"/>
      <w:marTop w:val="0"/>
      <w:marBottom w:val="0"/>
      <w:divBdr>
        <w:top w:val="none" w:sz="0" w:space="0" w:color="auto"/>
        <w:left w:val="none" w:sz="0" w:space="0" w:color="auto"/>
        <w:bottom w:val="none" w:sz="0" w:space="0" w:color="auto"/>
        <w:right w:val="none" w:sz="0" w:space="0" w:color="auto"/>
      </w:divBdr>
      <w:divsChild>
        <w:div w:id="1288780477">
          <w:marLeft w:val="274"/>
          <w:marRight w:val="0"/>
          <w:marTop w:val="150"/>
          <w:marBottom w:val="0"/>
          <w:divBdr>
            <w:top w:val="none" w:sz="0" w:space="0" w:color="auto"/>
            <w:left w:val="none" w:sz="0" w:space="0" w:color="auto"/>
            <w:bottom w:val="none" w:sz="0" w:space="0" w:color="auto"/>
            <w:right w:val="none" w:sz="0" w:space="0" w:color="auto"/>
          </w:divBdr>
        </w:div>
        <w:div w:id="2006082556">
          <w:marLeft w:val="274"/>
          <w:marRight w:val="0"/>
          <w:marTop w:val="150"/>
          <w:marBottom w:val="0"/>
          <w:divBdr>
            <w:top w:val="none" w:sz="0" w:space="0" w:color="auto"/>
            <w:left w:val="none" w:sz="0" w:space="0" w:color="auto"/>
            <w:bottom w:val="none" w:sz="0" w:space="0" w:color="auto"/>
            <w:right w:val="none" w:sz="0" w:space="0" w:color="auto"/>
          </w:divBdr>
        </w:div>
        <w:div w:id="1378897630">
          <w:marLeft w:val="274"/>
          <w:marRight w:val="0"/>
          <w:marTop w:val="150"/>
          <w:marBottom w:val="0"/>
          <w:divBdr>
            <w:top w:val="none" w:sz="0" w:space="0" w:color="auto"/>
            <w:left w:val="none" w:sz="0" w:space="0" w:color="auto"/>
            <w:bottom w:val="none" w:sz="0" w:space="0" w:color="auto"/>
            <w:right w:val="none" w:sz="0" w:space="0" w:color="auto"/>
          </w:divBdr>
        </w:div>
        <w:div w:id="791822636">
          <w:marLeft w:val="274"/>
          <w:marRight w:val="0"/>
          <w:marTop w:val="150"/>
          <w:marBottom w:val="0"/>
          <w:divBdr>
            <w:top w:val="none" w:sz="0" w:space="0" w:color="auto"/>
            <w:left w:val="none" w:sz="0" w:space="0" w:color="auto"/>
            <w:bottom w:val="none" w:sz="0" w:space="0" w:color="auto"/>
            <w:right w:val="none" w:sz="0" w:space="0" w:color="auto"/>
          </w:divBdr>
        </w:div>
        <w:div w:id="1105343264">
          <w:marLeft w:val="274"/>
          <w:marRight w:val="0"/>
          <w:marTop w:val="150"/>
          <w:marBottom w:val="0"/>
          <w:divBdr>
            <w:top w:val="none" w:sz="0" w:space="0" w:color="auto"/>
            <w:left w:val="none" w:sz="0" w:space="0" w:color="auto"/>
            <w:bottom w:val="none" w:sz="0" w:space="0" w:color="auto"/>
            <w:right w:val="none" w:sz="0" w:space="0" w:color="auto"/>
          </w:divBdr>
        </w:div>
      </w:divsChild>
    </w:div>
    <w:div w:id="1643463035">
      <w:bodyDiv w:val="1"/>
      <w:marLeft w:val="0"/>
      <w:marRight w:val="0"/>
      <w:marTop w:val="0"/>
      <w:marBottom w:val="0"/>
      <w:divBdr>
        <w:top w:val="none" w:sz="0" w:space="0" w:color="auto"/>
        <w:left w:val="none" w:sz="0" w:space="0" w:color="auto"/>
        <w:bottom w:val="none" w:sz="0" w:space="0" w:color="auto"/>
        <w:right w:val="none" w:sz="0" w:space="0" w:color="auto"/>
      </w:divBdr>
      <w:divsChild>
        <w:div w:id="179707518">
          <w:marLeft w:val="274"/>
          <w:marRight w:val="0"/>
          <w:marTop w:val="150"/>
          <w:marBottom w:val="0"/>
          <w:divBdr>
            <w:top w:val="none" w:sz="0" w:space="0" w:color="auto"/>
            <w:left w:val="none" w:sz="0" w:space="0" w:color="auto"/>
            <w:bottom w:val="none" w:sz="0" w:space="0" w:color="auto"/>
            <w:right w:val="none" w:sz="0" w:space="0" w:color="auto"/>
          </w:divBdr>
        </w:div>
      </w:divsChild>
    </w:div>
    <w:div w:id="1711034090">
      <w:bodyDiv w:val="1"/>
      <w:marLeft w:val="0"/>
      <w:marRight w:val="0"/>
      <w:marTop w:val="0"/>
      <w:marBottom w:val="0"/>
      <w:divBdr>
        <w:top w:val="none" w:sz="0" w:space="0" w:color="auto"/>
        <w:left w:val="none" w:sz="0" w:space="0" w:color="auto"/>
        <w:bottom w:val="none" w:sz="0" w:space="0" w:color="auto"/>
        <w:right w:val="none" w:sz="0" w:space="0" w:color="auto"/>
      </w:divBdr>
      <w:divsChild>
        <w:div w:id="1684822358">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hyperlink" Target="https://royalsocietypublishing.org/author/D%C3%ADaz%2C+M" TargetMode="External"/><Relationship Id="rId47" Type="http://schemas.openxmlformats.org/officeDocument/2006/relationships/hyperlink" Target="https://royalsocietypublishing.org/author/Tscharntke%2C+T" TargetMode="External"/><Relationship Id="rId63" Type="http://schemas.openxmlformats.org/officeDocument/2006/relationships/image" Target="media/image32.jpeg"/><Relationship Id="rId68"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royalsocietypublishing.org/author/Kohler%2C+F" TargetMode="External"/><Relationship Id="rId40" Type="http://schemas.openxmlformats.org/officeDocument/2006/relationships/hyperlink" Target="https://royalsocietypublishing.org/author/Concepci%C3%B3n%2C+ED" TargetMode="External"/><Relationship Id="rId45" Type="http://schemas.openxmlformats.org/officeDocument/2006/relationships/hyperlink" Target="https://royalsocietypublishing.org/author/Knop%2C+E" TargetMode="External"/><Relationship Id="rId53" Type="http://schemas.openxmlformats.org/officeDocument/2006/relationships/image" Target="media/image22.emf"/><Relationship Id="rId58" Type="http://schemas.openxmlformats.org/officeDocument/2006/relationships/image" Target="media/image27.png"/><Relationship Id="rId66"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image" Target="media/image30.jpe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agreste.agriculture.gouv.fr/IMG/pdf/prixcouts0705-2.pdf" TargetMode="External"/><Relationship Id="rId43" Type="http://schemas.openxmlformats.org/officeDocument/2006/relationships/hyperlink" Target="https://royalsocietypublishing.org/author/Gabriel%2C+D" TargetMode="External"/><Relationship Id="rId48" Type="http://schemas.openxmlformats.org/officeDocument/2006/relationships/hyperlink" Target="https://royalsocietypublishing.org/author/Verhulst%2C+J" TargetMode="External"/><Relationship Id="rId56" Type="http://schemas.openxmlformats.org/officeDocument/2006/relationships/image" Target="media/image25.png"/><Relationship Id="rId64" Type="http://schemas.openxmlformats.org/officeDocument/2006/relationships/image" Target="media/image33.jpe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royalsocietypublishing.org/author/B%C3%A1ldi%2C+A" TargetMode="External"/><Relationship Id="rId46" Type="http://schemas.openxmlformats.org/officeDocument/2006/relationships/hyperlink" Target="https://royalsocietypublishing.org/author/Marshall%2C+EJP" TargetMode="External"/><Relationship Id="rId59" Type="http://schemas.openxmlformats.org/officeDocument/2006/relationships/image" Target="media/image28.png"/><Relationship Id="rId67" Type="http://schemas.openxmlformats.org/officeDocument/2006/relationships/image" Target="media/image36.jpeg"/><Relationship Id="rId20" Type="http://schemas.openxmlformats.org/officeDocument/2006/relationships/footer" Target="footer7.xml"/><Relationship Id="rId41" Type="http://schemas.openxmlformats.org/officeDocument/2006/relationships/hyperlink" Target="https://royalsocietypublishing.org/author/Clough%2C+Y" TargetMode="External"/><Relationship Id="rId54" Type="http://schemas.openxmlformats.org/officeDocument/2006/relationships/image" Target="media/image23.emf"/><Relationship Id="rId62" Type="http://schemas.openxmlformats.org/officeDocument/2006/relationships/image" Target="media/image31.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royalsocietypublishing.org/author/Kleijn%2C+D" TargetMode="External"/><Relationship Id="rId49" Type="http://schemas.openxmlformats.org/officeDocument/2006/relationships/hyperlink" Target="https://www.researchgate.net/profile/Wojciech_Rzeznik" TargetMode="External"/><Relationship Id="rId57" Type="http://schemas.openxmlformats.org/officeDocument/2006/relationships/image" Target="media/image26.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royalsocietypublishing.org/author/Holzschuh%2C+A" TargetMode="External"/><Relationship Id="rId52" Type="http://schemas.openxmlformats.org/officeDocument/2006/relationships/image" Target="media/image21.emf"/><Relationship Id="rId60" Type="http://schemas.openxmlformats.org/officeDocument/2006/relationships/image" Target="media/image29.jpeg"/><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yperlink" Target="https://royalsocietypublishing.org/author/Bat%C3%A1ry%2C+P" TargetMode="External"/><Relationship Id="rId34" Type="http://schemas.openxmlformats.org/officeDocument/2006/relationships/hyperlink" Target="https://www6.versailles-grignon.inra.fr/ecosys/.../Agriculture_CO2_05_PC_BG_2.pdf" TargetMode="External"/><Relationship Id="rId50" Type="http://schemas.openxmlformats.org/officeDocument/2006/relationships/hyperlink" Target="https://www.researchgate.net/journal/1230-1485_Polish_Journal_of_Environmental_Studies" TargetMode="External"/><Relationship Id="rId55" Type="http://schemas.openxmlformats.org/officeDocument/2006/relationships/image" Target="media/image24.png"/></Relationships>
</file>

<file path=word/_rels/footer2.xml.rels><?xml version="1.0" encoding="UTF-8" standalone="yes"?>
<Relationships xmlns="http://schemas.openxmlformats.org/package/2006/relationships"><Relationship Id="rId3" Type="http://schemas.openxmlformats.org/officeDocument/2006/relationships/hyperlink" Target="mailto:ade@ade.eu" TargetMode="External"/><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6.emf"/><Relationship Id="rId4" Type="http://schemas.openxmlformats.org/officeDocument/2006/relationships/hyperlink" Target="http://www.ade.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wac.b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8A15E-ECD8-492E-A64A-FBA8B04FD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76</Pages>
  <Words>25373</Words>
  <Characters>142204</Characters>
  <Application>Microsoft Office Word</Application>
  <DocSecurity>0</DocSecurity>
  <Lines>1185</Lines>
  <Paragraphs>334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jean-paul ledant</dc:creator>
  <cp:lastModifiedBy>HENRARD Gregory</cp:lastModifiedBy>
  <cp:revision>6</cp:revision>
  <cp:lastPrinted>2019-06-14T10:32:00Z</cp:lastPrinted>
  <dcterms:created xsi:type="dcterms:W3CDTF">2019-06-19T10:30:00Z</dcterms:created>
  <dcterms:modified xsi:type="dcterms:W3CDTF">2019-11-27T19:18:00Z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gregory.henrard@spw.wallonie.be</vt:lpwstr>
  </property>
  <property fmtid="{D5CDD505-2E9C-101B-9397-08002B2CF9AE}" pid="5" name="MSIP_Label_e72a09c5-6e26-4737-a926-47ef1ab198ae_SetDate">
    <vt:lpwstr>2019-11-26T18:38:19.4852879Z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d0bf9e5c-f3b7-4eca-a94a-aa468b073b94</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ies>
</file>